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54FE5" w:rsidRPr="0059286D" w:rsidRDefault="00954FE5" w:rsidP="00626A17">
      <w:pPr>
        <w:spacing w:line="480" w:lineRule="auto"/>
        <w:jc w:val="center"/>
        <w:rPr>
          <w:rFonts w:ascii="Times New Roman" w:hAnsi="Times New Roman" w:cs="Times New Roman"/>
          <w:sz w:val="24"/>
          <w:szCs w:val="24"/>
        </w:rPr>
      </w:pPr>
    </w:p>
    <w:p w:rsidR="00954FE5" w:rsidRPr="0059286D" w:rsidRDefault="00954FE5" w:rsidP="00626A17">
      <w:pPr>
        <w:spacing w:line="480" w:lineRule="auto"/>
        <w:jc w:val="center"/>
        <w:rPr>
          <w:rFonts w:ascii="Times New Roman" w:hAnsi="Times New Roman" w:cs="Times New Roman"/>
          <w:sz w:val="24"/>
          <w:szCs w:val="24"/>
        </w:rPr>
      </w:pPr>
    </w:p>
    <w:p w:rsidR="00954FE5" w:rsidRPr="0059286D" w:rsidRDefault="00954FE5" w:rsidP="00626A17">
      <w:pPr>
        <w:spacing w:line="480" w:lineRule="auto"/>
        <w:jc w:val="center"/>
        <w:rPr>
          <w:rFonts w:ascii="Times New Roman" w:hAnsi="Times New Roman" w:cs="Times New Roman"/>
          <w:sz w:val="24"/>
          <w:szCs w:val="24"/>
        </w:rPr>
      </w:pPr>
    </w:p>
    <w:p w:rsidR="00954FE5" w:rsidRPr="0059286D" w:rsidRDefault="00954FE5" w:rsidP="00626A17">
      <w:pPr>
        <w:spacing w:line="480" w:lineRule="auto"/>
        <w:jc w:val="center"/>
        <w:rPr>
          <w:rFonts w:ascii="Times New Roman" w:hAnsi="Times New Roman" w:cs="Times New Roman"/>
          <w:sz w:val="24"/>
          <w:szCs w:val="24"/>
        </w:rPr>
      </w:pPr>
    </w:p>
    <w:p w:rsidR="003B1158" w:rsidRDefault="003B1158" w:rsidP="003B1158">
      <w:pPr>
        <w:rPr>
          <w:sz w:val="24"/>
          <w:szCs w:val="24"/>
        </w:rPr>
      </w:pPr>
    </w:p>
    <w:p w:rsidR="003B1158" w:rsidRDefault="003B1158" w:rsidP="003B1158">
      <w:pPr>
        <w:rPr>
          <w:sz w:val="24"/>
          <w:szCs w:val="24"/>
        </w:rPr>
      </w:pPr>
    </w:p>
    <w:p w:rsidR="003B1158" w:rsidRDefault="003B1158" w:rsidP="003B1158">
      <w:pPr>
        <w:rPr>
          <w:sz w:val="24"/>
          <w:szCs w:val="24"/>
        </w:rPr>
      </w:pPr>
    </w:p>
    <w:p w:rsidR="003B1158" w:rsidRDefault="003B1158" w:rsidP="003B1158">
      <w:pPr>
        <w:rPr>
          <w:sz w:val="24"/>
          <w:szCs w:val="24"/>
        </w:rPr>
      </w:pPr>
    </w:p>
    <w:p w:rsidR="003B1158" w:rsidRPr="007E14EE" w:rsidRDefault="001A745E" w:rsidP="003B1158">
      <w:pPr>
        <w:pStyle w:val="Heading2"/>
      </w:pPr>
      <w:r w:rsidRPr="007E14EE">
        <w:t>Demographic Profile of Texas and its prisons</w:t>
      </w:r>
    </w:p>
    <w:p w:rsidR="003B1158" w:rsidRDefault="001A745E" w:rsidP="003B1158">
      <w:pPr>
        <w:jc w:val="center"/>
        <w:rPr>
          <w:sz w:val="24"/>
          <w:szCs w:val="24"/>
        </w:rPr>
      </w:pPr>
      <w:r>
        <w:rPr>
          <w:sz w:val="24"/>
          <w:szCs w:val="24"/>
        </w:rPr>
        <w:t>Name]</w:t>
      </w:r>
    </w:p>
    <w:p w:rsidR="003B1158" w:rsidRDefault="001A745E" w:rsidP="003B1158">
      <w:pPr>
        <w:jc w:val="center"/>
        <w:rPr>
          <w:sz w:val="24"/>
          <w:szCs w:val="24"/>
        </w:rPr>
      </w:pPr>
      <w:r>
        <w:rPr>
          <w:sz w:val="24"/>
          <w:szCs w:val="24"/>
        </w:rPr>
        <w:t xml:space="preserve"> [Student Name]</w:t>
      </w:r>
    </w:p>
    <w:p w:rsidR="003B1158" w:rsidRDefault="001A745E" w:rsidP="003B1158">
      <w:pPr>
        <w:jc w:val="center"/>
        <w:rPr>
          <w:sz w:val="24"/>
          <w:szCs w:val="24"/>
        </w:rPr>
      </w:pPr>
      <w:r>
        <w:rPr>
          <w:sz w:val="24"/>
          <w:szCs w:val="24"/>
        </w:rPr>
        <w:t xml:space="preserve"> [Class]</w:t>
      </w:r>
    </w:p>
    <w:p w:rsidR="003B1158" w:rsidRDefault="001A745E" w:rsidP="003B1158">
      <w:pPr>
        <w:jc w:val="center"/>
        <w:rPr>
          <w:sz w:val="24"/>
          <w:szCs w:val="24"/>
        </w:rPr>
      </w:pPr>
      <w:r>
        <w:rPr>
          <w:sz w:val="24"/>
          <w:szCs w:val="24"/>
        </w:rPr>
        <w:t>Texas Southmost College</w:t>
      </w:r>
    </w:p>
    <w:p w:rsidR="003B1158" w:rsidRDefault="001A745E" w:rsidP="003B1158">
      <w:pPr>
        <w:spacing w:line="480" w:lineRule="auto"/>
        <w:jc w:val="center"/>
        <w:rPr>
          <w:sz w:val="24"/>
          <w:szCs w:val="24"/>
        </w:rPr>
      </w:pPr>
      <w:r>
        <w:rPr>
          <w:sz w:val="24"/>
          <w:szCs w:val="24"/>
        </w:rPr>
        <w:t>[Date]</w:t>
      </w:r>
    </w:p>
    <w:p w:rsidR="003B1158" w:rsidRDefault="003B1158" w:rsidP="003B1158">
      <w:pPr>
        <w:spacing w:line="480" w:lineRule="auto"/>
        <w:jc w:val="center"/>
        <w:rPr>
          <w:sz w:val="24"/>
          <w:szCs w:val="24"/>
        </w:rPr>
      </w:pPr>
    </w:p>
    <w:p w:rsidR="003B1158" w:rsidRDefault="003B1158" w:rsidP="003B1158">
      <w:pPr>
        <w:spacing w:line="480" w:lineRule="auto"/>
        <w:jc w:val="center"/>
        <w:rPr>
          <w:sz w:val="24"/>
          <w:szCs w:val="24"/>
        </w:rPr>
      </w:pPr>
    </w:p>
    <w:p w:rsidR="003B1158" w:rsidRDefault="003B1158" w:rsidP="003B1158">
      <w:pPr>
        <w:spacing w:line="480" w:lineRule="auto"/>
        <w:jc w:val="center"/>
        <w:rPr>
          <w:sz w:val="24"/>
          <w:szCs w:val="24"/>
        </w:rPr>
      </w:pPr>
    </w:p>
    <w:p w:rsidR="003B1158" w:rsidRDefault="003B1158" w:rsidP="003B1158">
      <w:pPr>
        <w:spacing w:line="480" w:lineRule="auto"/>
        <w:jc w:val="center"/>
        <w:rPr>
          <w:sz w:val="24"/>
          <w:szCs w:val="24"/>
        </w:rPr>
      </w:pPr>
    </w:p>
    <w:p w:rsidR="003B1158" w:rsidRDefault="001A745E">
      <w:pPr>
        <w:spacing w:after="160" w:line="259" w:lineRule="auto"/>
        <w:rPr>
          <w:sz w:val="24"/>
          <w:szCs w:val="24"/>
        </w:rPr>
      </w:pPr>
      <w:bookmarkStart w:id="0" w:name="_Toc45997849"/>
      <w:r>
        <w:rPr>
          <w:sz w:val="24"/>
          <w:szCs w:val="24"/>
        </w:rPr>
        <w:br w:type="page"/>
      </w:r>
    </w:p>
    <w:p w:rsidR="003B1158" w:rsidRPr="003B1158" w:rsidRDefault="001A745E" w:rsidP="003B1158">
      <w:pPr>
        <w:jc w:val="center"/>
        <w:rPr>
          <w:rFonts w:ascii="Arial" w:eastAsiaTheme="majorEastAsia" w:hAnsi="Arial" w:cs="Arial"/>
          <w:b/>
          <w:bCs/>
          <w:color w:val="000000"/>
          <w:sz w:val="24"/>
          <w:szCs w:val="24"/>
        </w:rPr>
      </w:pPr>
      <w:r w:rsidRPr="003B1158">
        <w:rPr>
          <w:rFonts w:ascii="Arial" w:hAnsi="Arial" w:cs="Arial"/>
          <w:b/>
          <w:bCs/>
          <w:sz w:val="24"/>
          <w:szCs w:val="24"/>
        </w:rPr>
        <w:lastRenderedPageBreak/>
        <w:t xml:space="preserve">Demographic Profile of </w:t>
      </w:r>
      <w:bookmarkEnd w:id="0"/>
      <w:r w:rsidRPr="003B1158">
        <w:rPr>
          <w:rFonts w:ascii="Arial" w:hAnsi="Arial" w:cs="Arial"/>
          <w:b/>
          <w:bCs/>
          <w:sz w:val="24"/>
          <w:szCs w:val="24"/>
        </w:rPr>
        <w:t>Texas and its prisons</w:t>
      </w:r>
    </w:p>
    <w:p w:rsidR="003B1158" w:rsidRPr="007E14EE" w:rsidRDefault="001A745E" w:rsidP="003B1158">
      <w:pPr>
        <w:spacing w:line="480" w:lineRule="auto"/>
        <w:rPr>
          <w:rFonts w:ascii="Arial" w:hAnsi="Arial" w:cs="Arial"/>
          <w:b/>
          <w:bCs/>
          <w:sz w:val="24"/>
          <w:szCs w:val="24"/>
        </w:rPr>
      </w:pPr>
      <w:r w:rsidRPr="007E14EE">
        <w:rPr>
          <w:rFonts w:ascii="Arial" w:hAnsi="Arial" w:cs="Arial"/>
          <w:b/>
          <w:bCs/>
          <w:sz w:val="24"/>
          <w:szCs w:val="24"/>
        </w:rPr>
        <w:t>Racial and gender distribution in Texas</w:t>
      </w:r>
    </w:p>
    <w:p w:rsidR="003B1158" w:rsidRPr="007E14EE" w:rsidRDefault="001A745E" w:rsidP="003B1158">
      <w:pPr>
        <w:pStyle w:val="Caption"/>
        <w:spacing w:line="480" w:lineRule="auto"/>
        <w:jc w:val="center"/>
        <w:rPr>
          <w:rFonts w:ascii="Arial" w:hAnsi="Arial" w:cs="Arial"/>
          <w:sz w:val="24"/>
          <w:szCs w:val="24"/>
        </w:rPr>
      </w:pPr>
      <w:bookmarkStart w:id="1" w:name="_Toc45997871"/>
      <w:r w:rsidRPr="007E14EE">
        <w:rPr>
          <w:rFonts w:ascii="Arial" w:hAnsi="Arial" w:cs="Arial"/>
          <w:sz w:val="24"/>
          <w:szCs w:val="24"/>
        </w:rPr>
        <w:t xml:space="preserve">Table 1: Gender </w:t>
      </w:r>
      <w:bookmarkEnd w:id="1"/>
      <w:r w:rsidRPr="007E14EE">
        <w:rPr>
          <w:rFonts w:ascii="Arial" w:hAnsi="Arial" w:cs="Arial"/>
          <w:sz w:val="24"/>
          <w:szCs w:val="24"/>
        </w:rPr>
        <w:t xml:space="preserve">distribution in the state of Texas </w:t>
      </w:r>
    </w:p>
    <w:tbl>
      <w:tblPr>
        <w:tblpPr w:leftFromText="180" w:rightFromText="180" w:vertAnchor="text" w:tblpXSpec="center" w:tblpY="1"/>
        <w:tblOverlap w:val="neve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2320"/>
        <w:gridCol w:w="2000"/>
        <w:gridCol w:w="2040"/>
      </w:tblGrid>
      <w:tr w:rsidR="00D30FBE" w:rsidTr="00D66254">
        <w:trPr>
          <w:trHeight w:val="537"/>
          <w:jc w:val="center"/>
        </w:trPr>
        <w:tc>
          <w:tcPr>
            <w:tcW w:w="2460" w:type="dxa"/>
            <w:shd w:val="clear" w:color="auto" w:fill="auto"/>
            <w:noWrap/>
            <w:vAlign w:val="center"/>
            <w:hideMark/>
          </w:tcPr>
          <w:p w:rsidR="003B1158" w:rsidRPr="007E14EE" w:rsidRDefault="003B1158" w:rsidP="00D66254">
            <w:pPr>
              <w:spacing w:after="0" w:line="480" w:lineRule="auto"/>
              <w:jc w:val="center"/>
              <w:rPr>
                <w:rFonts w:ascii="Arial" w:eastAsia="Times New Roman" w:hAnsi="Arial" w:cs="Arial"/>
                <w:b/>
                <w:bCs/>
                <w:sz w:val="24"/>
                <w:szCs w:val="24"/>
              </w:rPr>
            </w:pPr>
          </w:p>
          <w:p w:rsidR="003B1158" w:rsidRPr="007E14EE" w:rsidRDefault="003B1158" w:rsidP="00D66254">
            <w:pPr>
              <w:spacing w:after="0" w:line="480" w:lineRule="auto"/>
              <w:rPr>
                <w:rFonts w:ascii="Arial" w:eastAsia="Times New Roman" w:hAnsi="Arial" w:cs="Arial"/>
                <w:b/>
                <w:bCs/>
                <w:sz w:val="24"/>
                <w:szCs w:val="24"/>
              </w:rPr>
            </w:pPr>
          </w:p>
          <w:p w:rsidR="003B1158" w:rsidRPr="00F37D3C" w:rsidRDefault="003B1158" w:rsidP="00D66254">
            <w:pPr>
              <w:spacing w:after="0" w:line="480" w:lineRule="auto"/>
              <w:jc w:val="center"/>
              <w:rPr>
                <w:rFonts w:ascii="Arial" w:eastAsia="Times New Roman" w:hAnsi="Arial" w:cs="Arial"/>
                <w:b/>
                <w:bCs/>
                <w:sz w:val="24"/>
                <w:szCs w:val="24"/>
              </w:rPr>
            </w:pPr>
          </w:p>
        </w:tc>
        <w:tc>
          <w:tcPr>
            <w:tcW w:w="232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b/>
                <w:bCs/>
                <w:sz w:val="24"/>
                <w:szCs w:val="24"/>
              </w:rPr>
            </w:pPr>
            <w:r w:rsidRPr="00F37D3C">
              <w:rPr>
                <w:rFonts w:ascii="Arial" w:eastAsia="Times New Roman" w:hAnsi="Arial" w:cs="Arial"/>
                <w:b/>
                <w:bCs/>
                <w:sz w:val="24"/>
                <w:szCs w:val="24"/>
              </w:rPr>
              <w:t>male (%)</w:t>
            </w:r>
          </w:p>
        </w:tc>
        <w:tc>
          <w:tcPr>
            <w:tcW w:w="200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b/>
                <w:bCs/>
                <w:sz w:val="24"/>
                <w:szCs w:val="24"/>
              </w:rPr>
            </w:pPr>
            <w:r w:rsidRPr="00F37D3C">
              <w:rPr>
                <w:rFonts w:ascii="Arial" w:eastAsia="Times New Roman" w:hAnsi="Arial" w:cs="Arial"/>
                <w:b/>
                <w:bCs/>
                <w:sz w:val="24"/>
                <w:szCs w:val="24"/>
              </w:rPr>
              <w:t>female (%)</w:t>
            </w:r>
          </w:p>
        </w:tc>
        <w:tc>
          <w:tcPr>
            <w:tcW w:w="2040" w:type="dxa"/>
            <w:shd w:val="clear" w:color="auto" w:fill="auto"/>
            <w:noWrap/>
            <w:vAlign w:val="bottom"/>
            <w:hideMark/>
          </w:tcPr>
          <w:p w:rsidR="003B1158" w:rsidRPr="00F37D3C" w:rsidRDefault="001A745E" w:rsidP="00D66254">
            <w:pPr>
              <w:spacing w:after="0" w:line="480" w:lineRule="auto"/>
              <w:rPr>
                <w:rFonts w:ascii="Arial" w:eastAsia="Times New Roman" w:hAnsi="Arial" w:cs="Arial"/>
                <w:b/>
                <w:bCs/>
                <w:sz w:val="24"/>
                <w:szCs w:val="24"/>
              </w:rPr>
            </w:pPr>
            <w:r w:rsidRPr="00F37D3C">
              <w:rPr>
                <w:rFonts w:ascii="Arial" w:eastAsia="Times New Roman" w:hAnsi="Arial" w:cs="Arial"/>
                <w:b/>
                <w:bCs/>
                <w:sz w:val="24"/>
                <w:szCs w:val="24"/>
              </w:rPr>
              <w:t>total Texas population (%)</w:t>
            </w:r>
          </w:p>
        </w:tc>
      </w:tr>
      <w:tr w:rsidR="00D30FBE" w:rsidTr="00D66254">
        <w:trPr>
          <w:trHeight w:val="537"/>
          <w:jc w:val="center"/>
        </w:trPr>
        <w:tc>
          <w:tcPr>
            <w:tcW w:w="246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White</w:t>
            </w:r>
          </w:p>
        </w:tc>
        <w:tc>
          <w:tcPr>
            <w:tcW w:w="232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49.588</w:t>
            </w:r>
          </w:p>
        </w:tc>
        <w:tc>
          <w:tcPr>
            <w:tcW w:w="200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50.412</w:t>
            </w:r>
          </w:p>
        </w:tc>
        <w:tc>
          <w:tcPr>
            <w:tcW w:w="204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42.609</w:t>
            </w:r>
          </w:p>
        </w:tc>
      </w:tr>
      <w:tr w:rsidR="00D30FBE" w:rsidTr="00D66254">
        <w:trPr>
          <w:trHeight w:val="537"/>
          <w:jc w:val="center"/>
        </w:trPr>
        <w:tc>
          <w:tcPr>
            <w:tcW w:w="246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Black</w:t>
            </w:r>
          </w:p>
        </w:tc>
        <w:tc>
          <w:tcPr>
            <w:tcW w:w="232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48.240</w:t>
            </w:r>
          </w:p>
        </w:tc>
        <w:tc>
          <w:tcPr>
            <w:tcW w:w="200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51.760</w:t>
            </w:r>
          </w:p>
        </w:tc>
        <w:tc>
          <w:tcPr>
            <w:tcW w:w="204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11.862</w:t>
            </w:r>
          </w:p>
        </w:tc>
      </w:tr>
      <w:tr w:rsidR="00D30FBE" w:rsidTr="00D66254">
        <w:trPr>
          <w:trHeight w:val="537"/>
          <w:jc w:val="center"/>
        </w:trPr>
        <w:tc>
          <w:tcPr>
            <w:tcW w:w="246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7E14EE">
              <w:rPr>
                <w:rFonts w:ascii="Arial" w:eastAsia="Times New Roman" w:hAnsi="Arial" w:cs="Arial"/>
                <w:sz w:val="24"/>
                <w:szCs w:val="24"/>
              </w:rPr>
              <w:t>Hispanic</w:t>
            </w:r>
          </w:p>
        </w:tc>
        <w:tc>
          <w:tcPr>
            <w:tcW w:w="232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50.178</w:t>
            </w:r>
          </w:p>
        </w:tc>
        <w:tc>
          <w:tcPr>
            <w:tcW w:w="200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49.822</w:t>
            </w:r>
          </w:p>
        </w:tc>
        <w:tc>
          <w:tcPr>
            <w:tcW w:w="204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38.613</w:t>
            </w:r>
          </w:p>
        </w:tc>
      </w:tr>
      <w:tr w:rsidR="00D30FBE" w:rsidTr="00D66254">
        <w:trPr>
          <w:trHeight w:val="537"/>
          <w:jc w:val="center"/>
        </w:trPr>
        <w:tc>
          <w:tcPr>
            <w:tcW w:w="246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Other</w:t>
            </w:r>
          </w:p>
        </w:tc>
        <w:tc>
          <w:tcPr>
            <w:tcW w:w="232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49.107</w:t>
            </w:r>
          </w:p>
        </w:tc>
        <w:tc>
          <w:tcPr>
            <w:tcW w:w="200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50.893</w:t>
            </w:r>
          </w:p>
        </w:tc>
        <w:tc>
          <w:tcPr>
            <w:tcW w:w="2040" w:type="dxa"/>
            <w:shd w:val="clear" w:color="auto" w:fill="auto"/>
            <w:noWrap/>
            <w:vAlign w:val="bottom"/>
            <w:hideMark/>
          </w:tcPr>
          <w:p w:rsidR="003B1158" w:rsidRPr="00F37D3C" w:rsidRDefault="001A745E" w:rsidP="00D66254">
            <w:pPr>
              <w:spacing w:after="0" w:line="480" w:lineRule="auto"/>
              <w:jc w:val="center"/>
              <w:rPr>
                <w:rFonts w:ascii="Arial" w:eastAsia="Times New Roman" w:hAnsi="Arial" w:cs="Arial"/>
                <w:sz w:val="24"/>
                <w:szCs w:val="24"/>
              </w:rPr>
            </w:pPr>
            <w:r w:rsidRPr="00F37D3C">
              <w:rPr>
                <w:rFonts w:ascii="Arial" w:eastAsia="Times New Roman" w:hAnsi="Arial" w:cs="Arial"/>
                <w:sz w:val="24"/>
                <w:szCs w:val="24"/>
              </w:rPr>
              <w:t>6.916</w:t>
            </w:r>
          </w:p>
        </w:tc>
      </w:tr>
    </w:tbl>
    <w:p w:rsidR="003B1158" w:rsidRPr="007E14EE" w:rsidRDefault="001A745E" w:rsidP="003B1158">
      <w:pPr>
        <w:pStyle w:val="Caption"/>
        <w:spacing w:before="240" w:after="0" w:line="480" w:lineRule="auto"/>
        <w:jc w:val="center"/>
        <w:rPr>
          <w:rFonts w:ascii="Arial" w:hAnsi="Arial" w:cs="Arial"/>
          <w:b/>
          <w:bCs/>
          <w:i w:val="0"/>
          <w:iCs w:val="0"/>
          <w:color w:val="000000"/>
          <w:sz w:val="24"/>
          <w:szCs w:val="24"/>
        </w:rPr>
      </w:pPr>
      <w:bookmarkStart w:id="2" w:name="_Toc45997883"/>
      <w:r w:rsidRPr="007E14EE">
        <w:rPr>
          <w:rFonts w:ascii="Arial" w:hAnsi="Arial" w:cs="Arial"/>
          <w:sz w:val="24"/>
          <w:szCs w:val="24"/>
        </w:rPr>
        <w:t xml:space="preserve">Figure 1: </w:t>
      </w:r>
      <w:bookmarkEnd w:id="2"/>
      <w:r w:rsidRPr="007E14EE">
        <w:rPr>
          <w:rFonts w:ascii="Arial" w:hAnsi="Arial" w:cs="Arial"/>
          <w:sz w:val="24"/>
          <w:szCs w:val="24"/>
        </w:rPr>
        <w:t xml:space="preserve">Gender distribution in the state of </w:t>
      </w:r>
      <w:r w:rsidRPr="007E14EE">
        <w:rPr>
          <w:rFonts w:ascii="Arial" w:hAnsi="Arial" w:cs="Arial"/>
          <w:sz w:val="24"/>
          <w:szCs w:val="24"/>
        </w:rPr>
        <w:t>Texas</w:t>
      </w:r>
    </w:p>
    <w:p w:rsidR="003B1158" w:rsidRPr="007E14EE" w:rsidRDefault="001A745E" w:rsidP="003B1158">
      <w:pPr>
        <w:spacing w:line="480" w:lineRule="auto"/>
        <w:rPr>
          <w:rFonts w:ascii="Arial" w:hAnsi="Arial" w:cs="Arial"/>
          <w:sz w:val="24"/>
          <w:szCs w:val="24"/>
        </w:rPr>
      </w:pPr>
      <w:r w:rsidRPr="007E14EE">
        <w:rPr>
          <w:rFonts w:ascii="Arial" w:hAnsi="Arial" w:cs="Arial"/>
          <w:noProof/>
          <w:sz w:val="24"/>
          <w:szCs w:val="24"/>
        </w:rPr>
        <w:drawing>
          <wp:inline distT="0" distB="0" distL="0" distR="0">
            <wp:extent cx="4008120" cy="2377440"/>
            <wp:effectExtent l="0" t="0" r="11430" b="3810"/>
            <wp:docPr id="4" name="Chart 4">
              <a:extLst xmlns:a="http://schemas.openxmlformats.org/drawingml/2006/main">
                <a:ext uri="{FF2B5EF4-FFF2-40B4-BE49-F238E27FC236}">
                  <a16:creationId xmlns:a16="http://schemas.microsoft.com/office/drawing/2014/main" id="{EACAF2D9-B8E8-48ED-A2AC-21A94DFB7A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B1158" w:rsidRPr="007E14EE" w:rsidRDefault="001A745E" w:rsidP="003B1158">
      <w:pPr>
        <w:spacing w:line="480" w:lineRule="auto"/>
        <w:ind w:firstLine="720"/>
        <w:rPr>
          <w:rFonts w:ascii="Arial" w:hAnsi="Arial" w:cs="Arial"/>
          <w:sz w:val="24"/>
          <w:szCs w:val="24"/>
        </w:rPr>
      </w:pPr>
      <w:r w:rsidRPr="007E14EE">
        <w:rPr>
          <w:rFonts w:ascii="Arial" w:hAnsi="Arial" w:cs="Arial"/>
          <w:sz w:val="24"/>
          <w:szCs w:val="24"/>
        </w:rPr>
        <w:t xml:space="preserve">This research observes that there are 50.41% white females, and 49.58% white males, </w:t>
      </w:r>
      <w:r w:rsidRPr="00F37D3C">
        <w:rPr>
          <w:rFonts w:ascii="Arial" w:eastAsia="Times New Roman" w:hAnsi="Arial" w:cs="Arial"/>
          <w:sz w:val="24"/>
          <w:szCs w:val="24"/>
        </w:rPr>
        <w:t>51.76</w:t>
      </w:r>
      <w:r w:rsidRPr="007E14EE">
        <w:rPr>
          <w:rFonts w:ascii="Arial" w:hAnsi="Arial" w:cs="Arial"/>
          <w:sz w:val="24"/>
          <w:szCs w:val="24"/>
        </w:rPr>
        <w:t xml:space="preserve">% Black females, and </w:t>
      </w:r>
      <w:r w:rsidRPr="00F37D3C">
        <w:rPr>
          <w:rFonts w:ascii="Arial" w:eastAsia="Times New Roman" w:hAnsi="Arial" w:cs="Arial"/>
          <w:sz w:val="24"/>
          <w:szCs w:val="24"/>
        </w:rPr>
        <w:t>48.24</w:t>
      </w:r>
      <w:r w:rsidRPr="007E14EE">
        <w:rPr>
          <w:rFonts w:ascii="Arial" w:eastAsia="Times New Roman" w:hAnsi="Arial" w:cs="Arial"/>
          <w:sz w:val="24"/>
          <w:szCs w:val="24"/>
        </w:rPr>
        <w:t xml:space="preserve">% </w:t>
      </w:r>
      <w:r w:rsidRPr="007E14EE">
        <w:rPr>
          <w:rFonts w:ascii="Arial" w:hAnsi="Arial" w:cs="Arial"/>
          <w:sz w:val="24"/>
          <w:szCs w:val="24"/>
        </w:rPr>
        <w:t xml:space="preserve">black males, </w:t>
      </w:r>
      <w:r w:rsidRPr="00F37D3C">
        <w:rPr>
          <w:rFonts w:ascii="Arial" w:eastAsia="Times New Roman" w:hAnsi="Arial" w:cs="Arial"/>
          <w:sz w:val="24"/>
          <w:szCs w:val="24"/>
        </w:rPr>
        <w:t>49.82</w:t>
      </w:r>
      <w:r w:rsidRPr="007E14EE">
        <w:rPr>
          <w:rFonts w:ascii="Arial" w:hAnsi="Arial" w:cs="Arial"/>
          <w:sz w:val="24"/>
          <w:szCs w:val="24"/>
        </w:rPr>
        <w:t xml:space="preserve">% Hispanic females, and 50.17% Hispanic males, and </w:t>
      </w:r>
      <w:r w:rsidRPr="00F37D3C">
        <w:rPr>
          <w:rFonts w:ascii="Arial" w:eastAsia="Times New Roman" w:hAnsi="Arial" w:cs="Arial"/>
          <w:sz w:val="24"/>
          <w:szCs w:val="24"/>
        </w:rPr>
        <w:t>50.893</w:t>
      </w:r>
      <w:r w:rsidRPr="007E14EE">
        <w:rPr>
          <w:rFonts w:ascii="Arial" w:hAnsi="Arial" w:cs="Arial"/>
          <w:sz w:val="24"/>
          <w:szCs w:val="24"/>
        </w:rPr>
        <w:t xml:space="preserve">% other race females, and </w:t>
      </w:r>
      <w:r w:rsidRPr="00F37D3C">
        <w:rPr>
          <w:rFonts w:ascii="Arial" w:eastAsia="Times New Roman" w:hAnsi="Arial" w:cs="Arial"/>
          <w:sz w:val="24"/>
          <w:szCs w:val="24"/>
        </w:rPr>
        <w:t>49.10</w:t>
      </w:r>
      <w:r w:rsidRPr="007E14EE">
        <w:rPr>
          <w:rFonts w:ascii="Arial" w:hAnsi="Arial" w:cs="Arial"/>
          <w:sz w:val="24"/>
          <w:szCs w:val="24"/>
        </w:rPr>
        <w:t xml:space="preserve">% other race males in </w:t>
      </w:r>
      <w:r w:rsidRPr="007E14EE">
        <w:rPr>
          <w:rFonts w:ascii="Arial" w:hAnsi="Arial" w:cs="Arial"/>
          <w:sz w:val="24"/>
          <w:szCs w:val="24"/>
        </w:rPr>
        <w:t xml:space="preserve">the state of Texas. The whites add up to 42.60%, and the Blacks add up to 11.86%, the Hispanics add up to 38.61%, and other races add up to 6.92% of the </w:t>
      </w:r>
      <w:r w:rsidRPr="007E14EE">
        <w:rPr>
          <w:rFonts w:ascii="Arial" w:hAnsi="Arial" w:cs="Arial"/>
          <w:sz w:val="24"/>
          <w:szCs w:val="24"/>
        </w:rPr>
        <w:lastRenderedPageBreak/>
        <w:t>state's total population Texas. The bar graph above shows uniform gender representation in each race, e</w:t>
      </w:r>
      <w:r w:rsidRPr="007E14EE">
        <w:rPr>
          <w:rFonts w:ascii="Arial" w:hAnsi="Arial" w:cs="Arial"/>
          <w:sz w:val="24"/>
          <w:szCs w:val="24"/>
        </w:rPr>
        <w:t>ven though there is uneven racial representation across the state.</w:t>
      </w:r>
    </w:p>
    <w:p w:rsidR="003B1158" w:rsidRPr="007E14EE" w:rsidRDefault="001A745E" w:rsidP="003B1158">
      <w:pPr>
        <w:spacing w:line="480" w:lineRule="auto"/>
        <w:rPr>
          <w:rFonts w:ascii="Arial" w:hAnsi="Arial" w:cs="Arial"/>
          <w:b/>
          <w:bCs/>
          <w:sz w:val="24"/>
          <w:szCs w:val="24"/>
        </w:rPr>
      </w:pPr>
      <w:r w:rsidRPr="007E14EE">
        <w:rPr>
          <w:rFonts w:ascii="Arial" w:hAnsi="Arial" w:cs="Arial"/>
          <w:b/>
          <w:bCs/>
          <w:sz w:val="24"/>
          <w:szCs w:val="24"/>
        </w:rPr>
        <w:t>Racial distribution in Texas prisons</w:t>
      </w:r>
    </w:p>
    <w:p w:rsidR="003B1158" w:rsidRPr="007E14EE" w:rsidRDefault="001A745E" w:rsidP="003B1158">
      <w:pPr>
        <w:pStyle w:val="Caption"/>
        <w:spacing w:line="480" w:lineRule="auto"/>
        <w:jc w:val="center"/>
        <w:rPr>
          <w:rFonts w:ascii="Arial" w:hAnsi="Arial" w:cs="Arial"/>
          <w:sz w:val="24"/>
          <w:szCs w:val="24"/>
        </w:rPr>
      </w:pPr>
      <w:r w:rsidRPr="007E14EE">
        <w:rPr>
          <w:rFonts w:ascii="Arial" w:hAnsi="Arial" w:cs="Arial"/>
          <w:sz w:val="24"/>
          <w:szCs w:val="24"/>
        </w:rPr>
        <w:t>Table 2: Racial distribution in the state of Texas prisons</w:t>
      </w:r>
    </w:p>
    <w:tbl>
      <w:tblPr>
        <w:tblW w:w="8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8"/>
        <w:gridCol w:w="2148"/>
        <w:gridCol w:w="2148"/>
        <w:gridCol w:w="2148"/>
      </w:tblGrid>
      <w:tr w:rsidR="00D30FBE" w:rsidTr="00D66254">
        <w:trPr>
          <w:trHeight w:val="464"/>
        </w:trPr>
        <w:tc>
          <w:tcPr>
            <w:tcW w:w="2148" w:type="dxa"/>
            <w:shd w:val="clear" w:color="auto" w:fill="auto"/>
            <w:noWrap/>
            <w:vAlign w:val="center"/>
            <w:hideMark/>
          </w:tcPr>
          <w:p w:rsidR="003B1158" w:rsidRPr="0070006A" w:rsidRDefault="001A745E" w:rsidP="00D66254">
            <w:pPr>
              <w:spacing w:after="0" w:line="480" w:lineRule="auto"/>
              <w:jc w:val="center"/>
              <w:rPr>
                <w:rFonts w:ascii="Arial" w:eastAsia="Times New Roman" w:hAnsi="Arial" w:cs="Arial"/>
                <w:b/>
                <w:bCs/>
                <w:sz w:val="24"/>
                <w:szCs w:val="24"/>
              </w:rPr>
            </w:pPr>
            <w:r w:rsidRPr="0070006A">
              <w:rPr>
                <w:rFonts w:ascii="Arial" w:eastAsia="Times New Roman" w:hAnsi="Arial" w:cs="Arial"/>
                <w:b/>
                <w:bCs/>
                <w:sz w:val="24"/>
                <w:szCs w:val="24"/>
              </w:rPr>
              <w:t>POPULATION</w:t>
            </w:r>
            <w:r w:rsidRPr="007E14EE">
              <w:rPr>
                <w:rFonts w:ascii="Arial" w:eastAsia="Times New Roman" w:hAnsi="Arial" w:cs="Arial"/>
                <w:b/>
                <w:bCs/>
                <w:sz w:val="24"/>
                <w:szCs w:val="24"/>
              </w:rPr>
              <w:t xml:space="preserve"> in prisons (</w:t>
            </w:r>
            <w:r w:rsidRPr="0070006A">
              <w:rPr>
                <w:rFonts w:ascii="Arial" w:eastAsia="Times New Roman" w:hAnsi="Arial" w:cs="Arial"/>
                <w:b/>
                <w:bCs/>
                <w:sz w:val="24"/>
                <w:szCs w:val="24"/>
              </w:rPr>
              <w:t>%)</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b/>
                <w:bCs/>
                <w:sz w:val="24"/>
                <w:szCs w:val="24"/>
              </w:rPr>
            </w:pPr>
            <w:r w:rsidRPr="0070006A">
              <w:rPr>
                <w:rFonts w:ascii="Arial" w:eastAsia="Times New Roman" w:hAnsi="Arial" w:cs="Arial"/>
                <w:b/>
                <w:bCs/>
                <w:sz w:val="24"/>
                <w:szCs w:val="24"/>
              </w:rPr>
              <w:t>male (%)</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b/>
                <w:bCs/>
                <w:sz w:val="24"/>
                <w:szCs w:val="24"/>
              </w:rPr>
            </w:pPr>
            <w:r w:rsidRPr="0070006A">
              <w:rPr>
                <w:rFonts w:ascii="Arial" w:eastAsia="Times New Roman" w:hAnsi="Arial" w:cs="Arial"/>
                <w:b/>
                <w:bCs/>
                <w:sz w:val="24"/>
                <w:szCs w:val="24"/>
              </w:rPr>
              <w:t>female (%)</w:t>
            </w:r>
          </w:p>
        </w:tc>
        <w:tc>
          <w:tcPr>
            <w:tcW w:w="2148" w:type="dxa"/>
            <w:shd w:val="clear" w:color="auto" w:fill="auto"/>
            <w:noWrap/>
            <w:vAlign w:val="bottom"/>
            <w:hideMark/>
          </w:tcPr>
          <w:p w:rsidR="003B1158" w:rsidRPr="0070006A" w:rsidRDefault="001A745E" w:rsidP="00D66254">
            <w:pPr>
              <w:spacing w:after="0" w:line="480" w:lineRule="auto"/>
              <w:rPr>
                <w:rFonts w:ascii="Arial" w:eastAsia="Times New Roman" w:hAnsi="Arial" w:cs="Arial"/>
                <w:b/>
                <w:bCs/>
                <w:sz w:val="24"/>
                <w:szCs w:val="24"/>
              </w:rPr>
            </w:pPr>
            <w:r w:rsidRPr="0070006A">
              <w:rPr>
                <w:rFonts w:ascii="Arial" w:eastAsia="Times New Roman" w:hAnsi="Arial" w:cs="Arial"/>
                <w:b/>
                <w:bCs/>
                <w:sz w:val="24"/>
                <w:szCs w:val="24"/>
              </w:rPr>
              <w:t>total prison population (%)</w:t>
            </w:r>
          </w:p>
        </w:tc>
      </w:tr>
      <w:tr w:rsidR="00D30FBE" w:rsidTr="00D66254">
        <w:trPr>
          <w:trHeight w:val="464"/>
        </w:trPr>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E14EE">
              <w:rPr>
                <w:rFonts w:ascii="Arial" w:eastAsia="Times New Roman" w:hAnsi="Arial" w:cs="Arial"/>
                <w:sz w:val="24"/>
                <w:szCs w:val="24"/>
              </w:rPr>
              <w:t>W</w:t>
            </w:r>
            <w:r w:rsidRPr="0070006A">
              <w:rPr>
                <w:rFonts w:ascii="Arial" w:eastAsia="Times New Roman" w:hAnsi="Arial" w:cs="Arial"/>
                <w:sz w:val="24"/>
                <w:szCs w:val="24"/>
              </w:rPr>
              <w:t>hite</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0006A">
              <w:rPr>
                <w:rFonts w:ascii="Arial" w:eastAsia="Times New Roman" w:hAnsi="Arial" w:cs="Arial"/>
                <w:sz w:val="24"/>
                <w:szCs w:val="24"/>
              </w:rPr>
              <w:t>75.849</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0006A">
              <w:rPr>
                <w:rFonts w:ascii="Arial" w:eastAsia="Times New Roman" w:hAnsi="Arial" w:cs="Arial"/>
                <w:sz w:val="24"/>
                <w:szCs w:val="24"/>
              </w:rPr>
              <w:t>24.151</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0006A">
              <w:rPr>
                <w:rFonts w:ascii="Arial" w:eastAsia="Times New Roman" w:hAnsi="Arial" w:cs="Arial"/>
                <w:sz w:val="24"/>
                <w:szCs w:val="24"/>
              </w:rPr>
              <w:t>38.886</w:t>
            </w:r>
          </w:p>
        </w:tc>
      </w:tr>
      <w:tr w:rsidR="00D30FBE" w:rsidTr="00D66254">
        <w:trPr>
          <w:trHeight w:val="464"/>
        </w:trPr>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E14EE">
              <w:rPr>
                <w:rFonts w:ascii="Arial" w:eastAsia="Times New Roman" w:hAnsi="Arial" w:cs="Arial"/>
                <w:sz w:val="24"/>
                <w:szCs w:val="24"/>
              </w:rPr>
              <w:t>B</w:t>
            </w:r>
            <w:r w:rsidRPr="0070006A">
              <w:rPr>
                <w:rFonts w:ascii="Arial" w:eastAsia="Times New Roman" w:hAnsi="Arial" w:cs="Arial"/>
                <w:sz w:val="24"/>
                <w:szCs w:val="24"/>
              </w:rPr>
              <w:t>lack</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0006A">
              <w:rPr>
                <w:rFonts w:ascii="Arial" w:eastAsia="Times New Roman" w:hAnsi="Arial" w:cs="Arial"/>
                <w:sz w:val="24"/>
                <w:szCs w:val="24"/>
              </w:rPr>
              <w:t>87.909</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0006A">
              <w:rPr>
                <w:rFonts w:ascii="Arial" w:eastAsia="Times New Roman" w:hAnsi="Arial" w:cs="Arial"/>
                <w:sz w:val="24"/>
                <w:szCs w:val="24"/>
              </w:rPr>
              <w:t>12.091</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0006A">
              <w:rPr>
                <w:rFonts w:ascii="Arial" w:eastAsia="Times New Roman" w:hAnsi="Arial" w:cs="Arial"/>
                <w:sz w:val="24"/>
                <w:szCs w:val="24"/>
              </w:rPr>
              <w:t>27.061</w:t>
            </w:r>
          </w:p>
        </w:tc>
      </w:tr>
      <w:tr w:rsidR="00D30FBE" w:rsidTr="00D66254">
        <w:trPr>
          <w:trHeight w:val="464"/>
        </w:trPr>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E14EE">
              <w:rPr>
                <w:rFonts w:ascii="Arial" w:eastAsia="Times New Roman" w:hAnsi="Arial" w:cs="Arial"/>
                <w:sz w:val="24"/>
                <w:szCs w:val="24"/>
              </w:rPr>
              <w:t>Hispanic</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0006A">
              <w:rPr>
                <w:rFonts w:ascii="Arial" w:eastAsia="Times New Roman" w:hAnsi="Arial" w:cs="Arial"/>
                <w:sz w:val="24"/>
                <w:szCs w:val="24"/>
              </w:rPr>
              <w:t>87.828</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0006A">
              <w:rPr>
                <w:rFonts w:ascii="Arial" w:eastAsia="Times New Roman" w:hAnsi="Arial" w:cs="Arial"/>
                <w:sz w:val="24"/>
                <w:szCs w:val="24"/>
              </w:rPr>
              <w:t>12.172</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0006A">
              <w:rPr>
                <w:rFonts w:ascii="Arial" w:eastAsia="Times New Roman" w:hAnsi="Arial" w:cs="Arial"/>
                <w:sz w:val="24"/>
                <w:szCs w:val="24"/>
              </w:rPr>
              <w:t>33.546</w:t>
            </w:r>
          </w:p>
        </w:tc>
      </w:tr>
      <w:tr w:rsidR="00D30FBE" w:rsidTr="00D66254">
        <w:trPr>
          <w:trHeight w:val="464"/>
        </w:trPr>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E14EE">
              <w:rPr>
                <w:rFonts w:ascii="Arial" w:eastAsia="Times New Roman" w:hAnsi="Arial" w:cs="Arial"/>
                <w:sz w:val="24"/>
                <w:szCs w:val="24"/>
              </w:rPr>
              <w:t>O</w:t>
            </w:r>
            <w:r w:rsidRPr="0070006A">
              <w:rPr>
                <w:rFonts w:ascii="Arial" w:eastAsia="Times New Roman" w:hAnsi="Arial" w:cs="Arial"/>
                <w:sz w:val="24"/>
                <w:szCs w:val="24"/>
              </w:rPr>
              <w:t>ther</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0006A">
              <w:rPr>
                <w:rFonts w:ascii="Arial" w:eastAsia="Times New Roman" w:hAnsi="Arial" w:cs="Arial"/>
                <w:sz w:val="24"/>
                <w:szCs w:val="24"/>
              </w:rPr>
              <w:t>86.751</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0006A">
              <w:rPr>
                <w:rFonts w:ascii="Arial" w:eastAsia="Times New Roman" w:hAnsi="Arial" w:cs="Arial"/>
                <w:sz w:val="24"/>
                <w:szCs w:val="24"/>
              </w:rPr>
              <w:t>13.249</w:t>
            </w:r>
          </w:p>
        </w:tc>
        <w:tc>
          <w:tcPr>
            <w:tcW w:w="2148" w:type="dxa"/>
            <w:shd w:val="clear" w:color="auto" w:fill="auto"/>
            <w:noWrap/>
            <w:vAlign w:val="bottom"/>
            <w:hideMark/>
          </w:tcPr>
          <w:p w:rsidR="003B1158" w:rsidRPr="0070006A" w:rsidRDefault="001A745E" w:rsidP="00D66254">
            <w:pPr>
              <w:spacing w:after="0" w:line="480" w:lineRule="auto"/>
              <w:jc w:val="center"/>
              <w:rPr>
                <w:rFonts w:ascii="Arial" w:eastAsia="Times New Roman" w:hAnsi="Arial" w:cs="Arial"/>
                <w:sz w:val="24"/>
                <w:szCs w:val="24"/>
              </w:rPr>
            </w:pPr>
            <w:r w:rsidRPr="0070006A">
              <w:rPr>
                <w:rFonts w:ascii="Arial" w:eastAsia="Times New Roman" w:hAnsi="Arial" w:cs="Arial"/>
                <w:sz w:val="24"/>
                <w:szCs w:val="24"/>
              </w:rPr>
              <w:t>0.506</w:t>
            </w:r>
          </w:p>
        </w:tc>
      </w:tr>
    </w:tbl>
    <w:p w:rsidR="003B1158" w:rsidRPr="007E14EE" w:rsidRDefault="001A745E" w:rsidP="003B1158">
      <w:pPr>
        <w:pStyle w:val="Caption"/>
        <w:spacing w:before="240" w:line="480" w:lineRule="auto"/>
        <w:jc w:val="center"/>
        <w:rPr>
          <w:rFonts w:ascii="Arial" w:hAnsi="Arial" w:cs="Arial"/>
          <w:b/>
          <w:bCs/>
          <w:i w:val="0"/>
          <w:iCs w:val="0"/>
          <w:color w:val="000000"/>
          <w:sz w:val="24"/>
          <w:szCs w:val="24"/>
        </w:rPr>
      </w:pPr>
      <w:r w:rsidRPr="007E14EE">
        <w:rPr>
          <w:rFonts w:ascii="Arial" w:hAnsi="Arial" w:cs="Arial"/>
          <w:sz w:val="24"/>
          <w:szCs w:val="24"/>
        </w:rPr>
        <w:t>Figure 2: Racial distribution in the state of Texas</w:t>
      </w:r>
    </w:p>
    <w:p w:rsidR="003B1158" w:rsidRPr="007E14EE" w:rsidRDefault="001A745E" w:rsidP="003B1158">
      <w:pPr>
        <w:spacing w:line="480" w:lineRule="auto"/>
        <w:rPr>
          <w:rFonts w:ascii="Arial" w:hAnsi="Arial" w:cs="Arial"/>
          <w:sz w:val="24"/>
          <w:szCs w:val="24"/>
        </w:rPr>
      </w:pPr>
      <w:r w:rsidRPr="007E14EE">
        <w:rPr>
          <w:rFonts w:ascii="Arial" w:hAnsi="Arial" w:cs="Arial"/>
          <w:noProof/>
          <w:sz w:val="24"/>
          <w:szCs w:val="24"/>
        </w:rPr>
        <w:drawing>
          <wp:inline distT="0" distB="0" distL="0" distR="0">
            <wp:extent cx="4572000" cy="2743200"/>
            <wp:effectExtent l="0" t="0" r="0" b="0"/>
            <wp:docPr id="5" name="Chart 5">
              <a:extLst xmlns:a="http://schemas.openxmlformats.org/drawingml/2006/main">
                <a:ext uri="{FF2B5EF4-FFF2-40B4-BE49-F238E27FC236}">
                  <a16:creationId xmlns:a16="http://schemas.microsoft.com/office/drawing/2014/main" id="{E68EAEDA-17A8-4846-BC70-62F91AF0A3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B1158" w:rsidRPr="007E14EE" w:rsidRDefault="001A745E" w:rsidP="003B1158">
      <w:pPr>
        <w:spacing w:line="480" w:lineRule="auto"/>
        <w:ind w:firstLine="720"/>
        <w:rPr>
          <w:rFonts w:ascii="Arial" w:hAnsi="Arial" w:cs="Arial"/>
          <w:sz w:val="24"/>
          <w:szCs w:val="24"/>
        </w:rPr>
      </w:pPr>
      <w:r w:rsidRPr="007E14EE">
        <w:rPr>
          <w:rFonts w:ascii="Arial" w:hAnsi="Arial" w:cs="Arial"/>
          <w:sz w:val="24"/>
          <w:szCs w:val="24"/>
        </w:rPr>
        <w:lastRenderedPageBreak/>
        <w:t xml:space="preserve">This research observes that in the state of Texas prisons, there are 24.151% white females against 75.85% white males, </w:t>
      </w:r>
      <w:r w:rsidRPr="007E14EE">
        <w:rPr>
          <w:rFonts w:ascii="Arial" w:eastAsia="Times New Roman" w:hAnsi="Arial" w:cs="Arial"/>
          <w:sz w:val="24"/>
          <w:szCs w:val="24"/>
        </w:rPr>
        <w:t>12.10</w:t>
      </w:r>
      <w:r w:rsidRPr="007E14EE">
        <w:rPr>
          <w:rFonts w:ascii="Arial" w:hAnsi="Arial" w:cs="Arial"/>
          <w:sz w:val="24"/>
          <w:szCs w:val="24"/>
        </w:rPr>
        <w:t xml:space="preserve">% black females against </w:t>
      </w:r>
      <w:r w:rsidRPr="007E14EE">
        <w:rPr>
          <w:rFonts w:ascii="Arial" w:eastAsia="Times New Roman" w:hAnsi="Arial" w:cs="Arial"/>
          <w:sz w:val="24"/>
          <w:szCs w:val="24"/>
        </w:rPr>
        <w:t xml:space="preserve">87.91% </w:t>
      </w:r>
      <w:r w:rsidRPr="007E14EE">
        <w:rPr>
          <w:rFonts w:ascii="Arial" w:hAnsi="Arial" w:cs="Arial"/>
          <w:sz w:val="24"/>
          <w:szCs w:val="24"/>
        </w:rPr>
        <w:t xml:space="preserve">black males, </w:t>
      </w:r>
      <w:r w:rsidRPr="007E14EE">
        <w:rPr>
          <w:rFonts w:ascii="Arial" w:eastAsia="Times New Roman" w:hAnsi="Arial" w:cs="Arial"/>
          <w:sz w:val="24"/>
          <w:szCs w:val="24"/>
        </w:rPr>
        <w:t>12.17</w:t>
      </w:r>
      <w:r w:rsidRPr="007E14EE">
        <w:rPr>
          <w:rFonts w:ascii="Arial" w:hAnsi="Arial" w:cs="Arial"/>
          <w:sz w:val="24"/>
          <w:szCs w:val="24"/>
        </w:rPr>
        <w:t xml:space="preserve">% Hispanic females against 87.83% Hispanic males, and </w:t>
      </w:r>
      <w:r w:rsidRPr="007E14EE">
        <w:rPr>
          <w:rFonts w:ascii="Arial" w:eastAsia="Times New Roman" w:hAnsi="Arial" w:cs="Arial"/>
          <w:sz w:val="24"/>
          <w:szCs w:val="24"/>
        </w:rPr>
        <w:t>13.24</w:t>
      </w:r>
      <w:r w:rsidRPr="007E14EE">
        <w:rPr>
          <w:rFonts w:ascii="Arial" w:hAnsi="Arial" w:cs="Arial"/>
          <w:sz w:val="24"/>
          <w:szCs w:val="24"/>
        </w:rPr>
        <w:t>% other race females aga</w:t>
      </w:r>
      <w:r w:rsidRPr="007E14EE">
        <w:rPr>
          <w:rFonts w:ascii="Arial" w:hAnsi="Arial" w:cs="Arial"/>
          <w:sz w:val="24"/>
          <w:szCs w:val="24"/>
        </w:rPr>
        <w:t xml:space="preserve">inst </w:t>
      </w:r>
      <w:r w:rsidRPr="007E14EE">
        <w:rPr>
          <w:rFonts w:ascii="Arial" w:eastAsia="Times New Roman" w:hAnsi="Arial" w:cs="Arial"/>
          <w:sz w:val="24"/>
          <w:szCs w:val="24"/>
        </w:rPr>
        <w:t>86.75</w:t>
      </w:r>
      <w:r w:rsidRPr="007E14EE">
        <w:rPr>
          <w:rFonts w:ascii="Arial" w:hAnsi="Arial" w:cs="Arial"/>
          <w:sz w:val="24"/>
          <w:szCs w:val="24"/>
        </w:rPr>
        <w:t>% other race males. The whites add up to 38.88%, and the Blacks add up to 27.06%, the Hispanics add up to 33.55%, and other races add up to 0.51% of the total population in the state of Texas prisons. Although there is uneven racial representatio</w:t>
      </w:r>
      <w:r w:rsidRPr="007E14EE">
        <w:rPr>
          <w:rFonts w:ascii="Arial" w:hAnsi="Arial" w:cs="Arial"/>
          <w:sz w:val="24"/>
          <w:szCs w:val="24"/>
        </w:rPr>
        <w:t>n in prison from the bar graph above, it can be observed that there is a significant gender misrepresentation in each race in prisons within the state of Texas.</w:t>
      </w:r>
    </w:p>
    <w:p w:rsidR="003B1158" w:rsidRPr="007E14EE" w:rsidRDefault="001A745E" w:rsidP="003B1158">
      <w:pPr>
        <w:spacing w:line="480" w:lineRule="auto"/>
        <w:rPr>
          <w:rFonts w:ascii="Arial" w:hAnsi="Arial" w:cs="Arial"/>
          <w:b/>
          <w:bCs/>
          <w:sz w:val="24"/>
          <w:szCs w:val="24"/>
        </w:rPr>
      </w:pPr>
      <w:r w:rsidRPr="007E14EE">
        <w:rPr>
          <w:rFonts w:ascii="Arial" w:hAnsi="Arial" w:cs="Arial"/>
          <w:b/>
          <w:bCs/>
          <w:sz w:val="24"/>
          <w:szCs w:val="24"/>
        </w:rPr>
        <w:t>The demographic disparity in gender representation.</w:t>
      </w:r>
    </w:p>
    <w:p w:rsidR="003B1158" w:rsidRPr="007E14EE" w:rsidRDefault="001A745E" w:rsidP="003B1158">
      <w:pPr>
        <w:pStyle w:val="Caption"/>
        <w:spacing w:line="480" w:lineRule="auto"/>
        <w:jc w:val="center"/>
        <w:rPr>
          <w:rFonts w:ascii="Arial" w:hAnsi="Arial" w:cs="Arial"/>
          <w:b/>
          <w:bCs/>
          <w:i w:val="0"/>
          <w:iCs w:val="0"/>
          <w:color w:val="000000"/>
          <w:sz w:val="24"/>
          <w:szCs w:val="24"/>
        </w:rPr>
      </w:pPr>
      <w:r w:rsidRPr="007E14EE">
        <w:rPr>
          <w:rFonts w:ascii="Arial" w:hAnsi="Arial" w:cs="Arial"/>
          <w:sz w:val="24"/>
          <w:szCs w:val="24"/>
        </w:rPr>
        <w:t>Table 3: Gender disparity in the state of T</w:t>
      </w:r>
      <w:r w:rsidRPr="007E14EE">
        <w:rPr>
          <w:rFonts w:ascii="Arial" w:hAnsi="Arial" w:cs="Arial"/>
          <w:sz w:val="24"/>
          <w:szCs w:val="24"/>
        </w:rPr>
        <w:t>exas and its prisons</w:t>
      </w:r>
    </w:p>
    <w:tbl>
      <w:tblPr>
        <w:tblW w:w="6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2320"/>
        <w:gridCol w:w="2000"/>
      </w:tblGrid>
      <w:tr w:rsidR="00D30FBE" w:rsidTr="00D66254">
        <w:trPr>
          <w:trHeight w:val="288"/>
        </w:trPr>
        <w:tc>
          <w:tcPr>
            <w:tcW w:w="2460" w:type="dxa"/>
            <w:shd w:val="clear" w:color="auto" w:fill="auto"/>
            <w:noWrap/>
            <w:vAlign w:val="bottom"/>
            <w:hideMark/>
          </w:tcPr>
          <w:p w:rsidR="003B1158" w:rsidRPr="00BD7365" w:rsidRDefault="001A745E" w:rsidP="00D66254">
            <w:pPr>
              <w:spacing w:after="0" w:line="480" w:lineRule="auto"/>
              <w:jc w:val="center"/>
              <w:rPr>
                <w:rFonts w:ascii="Arial" w:eastAsia="Times New Roman" w:hAnsi="Arial" w:cs="Arial"/>
                <w:b/>
                <w:bCs/>
                <w:sz w:val="24"/>
                <w:szCs w:val="24"/>
              </w:rPr>
            </w:pPr>
            <w:r w:rsidRPr="00BD7365">
              <w:rPr>
                <w:rFonts w:ascii="Arial" w:eastAsia="Times New Roman" w:hAnsi="Arial" w:cs="Arial"/>
                <w:b/>
                <w:bCs/>
                <w:sz w:val="24"/>
                <w:szCs w:val="24"/>
              </w:rPr>
              <w:t>Total Pop Total</w:t>
            </w:r>
          </w:p>
        </w:tc>
        <w:tc>
          <w:tcPr>
            <w:tcW w:w="2320" w:type="dxa"/>
            <w:shd w:val="clear" w:color="auto" w:fill="auto"/>
            <w:noWrap/>
            <w:vAlign w:val="bottom"/>
            <w:hideMark/>
          </w:tcPr>
          <w:p w:rsidR="003B1158" w:rsidRPr="00BD7365" w:rsidRDefault="001A745E" w:rsidP="00D66254">
            <w:pPr>
              <w:spacing w:after="0" w:line="480" w:lineRule="auto"/>
              <w:jc w:val="center"/>
              <w:rPr>
                <w:rFonts w:ascii="Arial" w:eastAsia="Times New Roman" w:hAnsi="Arial" w:cs="Arial"/>
                <w:b/>
                <w:bCs/>
                <w:sz w:val="24"/>
                <w:szCs w:val="24"/>
              </w:rPr>
            </w:pPr>
            <w:r w:rsidRPr="007E14EE">
              <w:rPr>
                <w:rFonts w:ascii="Arial" w:eastAsia="Times New Roman" w:hAnsi="Arial" w:cs="Arial"/>
                <w:b/>
                <w:bCs/>
                <w:sz w:val="24"/>
                <w:szCs w:val="24"/>
              </w:rPr>
              <w:t>M</w:t>
            </w:r>
            <w:r w:rsidRPr="00BD7365">
              <w:rPr>
                <w:rFonts w:ascii="Arial" w:eastAsia="Times New Roman" w:hAnsi="Arial" w:cs="Arial"/>
                <w:b/>
                <w:bCs/>
                <w:sz w:val="24"/>
                <w:szCs w:val="24"/>
              </w:rPr>
              <w:t>ale</w:t>
            </w:r>
          </w:p>
        </w:tc>
        <w:tc>
          <w:tcPr>
            <w:tcW w:w="2000" w:type="dxa"/>
            <w:shd w:val="clear" w:color="auto" w:fill="auto"/>
            <w:noWrap/>
            <w:vAlign w:val="bottom"/>
            <w:hideMark/>
          </w:tcPr>
          <w:p w:rsidR="003B1158" w:rsidRPr="00BD7365" w:rsidRDefault="001A745E" w:rsidP="00D66254">
            <w:pPr>
              <w:spacing w:after="0" w:line="480" w:lineRule="auto"/>
              <w:jc w:val="center"/>
              <w:rPr>
                <w:rFonts w:ascii="Arial" w:eastAsia="Times New Roman" w:hAnsi="Arial" w:cs="Arial"/>
                <w:b/>
                <w:bCs/>
                <w:sz w:val="24"/>
                <w:szCs w:val="24"/>
              </w:rPr>
            </w:pPr>
            <w:r w:rsidRPr="007E14EE">
              <w:rPr>
                <w:rFonts w:ascii="Arial" w:eastAsia="Times New Roman" w:hAnsi="Arial" w:cs="Arial"/>
                <w:b/>
                <w:bCs/>
                <w:sz w:val="24"/>
                <w:szCs w:val="24"/>
              </w:rPr>
              <w:t>F</w:t>
            </w:r>
            <w:r w:rsidRPr="00BD7365">
              <w:rPr>
                <w:rFonts w:ascii="Arial" w:eastAsia="Times New Roman" w:hAnsi="Arial" w:cs="Arial"/>
                <w:b/>
                <w:bCs/>
                <w:sz w:val="24"/>
                <w:szCs w:val="24"/>
              </w:rPr>
              <w:t>emale</w:t>
            </w:r>
          </w:p>
        </w:tc>
      </w:tr>
      <w:tr w:rsidR="00D30FBE" w:rsidTr="00D66254">
        <w:trPr>
          <w:trHeight w:val="288"/>
        </w:trPr>
        <w:tc>
          <w:tcPr>
            <w:tcW w:w="2460" w:type="dxa"/>
            <w:shd w:val="clear" w:color="auto" w:fill="auto"/>
            <w:noWrap/>
            <w:vAlign w:val="bottom"/>
            <w:hideMark/>
          </w:tcPr>
          <w:p w:rsidR="003B1158" w:rsidRPr="00BD7365" w:rsidRDefault="001A745E" w:rsidP="00D66254">
            <w:pPr>
              <w:spacing w:after="0" w:line="480" w:lineRule="auto"/>
              <w:jc w:val="center"/>
              <w:rPr>
                <w:rFonts w:ascii="Arial" w:eastAsia="Times New Roman" w:hAnsi="Arial" w:cs="Arial"/>
                <w:b/>
                <w:bCs/>
                <w:sz w:val="24"/>
                <w:szCs w:val="24"/>
              </w:rPr>
            </w:pPr>
            <w:r w:rsidRPr="00BD7365">
              <w:rPr>
                <w:rFonts w:ascii="Arial" w:eastAsia="Times New Roman" w:hAnsi="Arial" w:cs="Arial"/>
                <w:b/>
                <w:bCs/>
                <w:sz w:val="24"/>
                <w:szCs w:val="24"/>
              </w:rPr>
              <w:t xml:space="preserve">TEXAS </w:t>
            </w:r>
          </w:p>
        </w:tc>
        <w:tc>
          <w:tcPr>
            <w:tcW w:w="2320" w:type="dxa"/>
            <w:shd w:val="clear" w:color="auto" w:fill="auto"/>
            <w:noWrap/>
            <w:vAlign w:val="bottom"/>
            <w:hideMark/>
          </w:tcPr>
          <w:p w:rsidR="003B1158" w:rsidRPr="00BD7365" w:rsidRDefault="001A745E" w:rsidP="00D66254">
            <w:pPr>
              <w:spacing w:after="0" w:line="480" w:lineRule="auto"/>
              <w:jc w:val="center"/>
              <w:rPr>
                <w:rFonts w:ascii="Arial" w:eastAsia="Times New Roman" w:hAnsi="Arial" w:cs="Arial"/>
                <w:sz w:val="24"/>
                <w:szCs w:val="24"/>
              </w:rPr>
            </w:pPr>
            <w:r w:rsidRPr="00BD7365">
              <w:rPr>
                <w:rFonts w:ascii="Arial" w:eastAsia="Times New Roman" w:hAnsi="Arial" w:cs="Arial"/>
                <w:sz w:val="24"/>
                <w:szCs w:val="24"/>
              </w:rPr>
              <w:t>49.623</w:t>
            </w:r>
          </w:p>
        </w:tc>
        <w:tc>
          <w:tcPr>
            <w:tcW w:w="2000" w:type="dxa"/>
            <w:shd w:val="clear" w:color="auto" w:fill="auto"/>
            <w:noWrap/>
            <w:vAlign w:val="bottom"/>
            <w:hideMark/>
          </w:tcPr>
          <w:p w:rsidR="003B1158" w:rsidRPr="00BD7365" w:rsidRDefault="001A745E" w:rsidP="00D66254">
            <w:pPr>
              <w:spacing w:after="0" w:line="480" w:lineRule="auto"/>
              <w:jc w:val="center"/>
              <w:rPr>
                <w:rFonts w:ascii="Arial" w:eastAsia="Times New Roman" w:hAnsi="Arial" w:cs="Arial"/>
                <w:sz w:val="24"/>
                <w:szCs w:val="24"/>
              </w:rPr>
            </w:pPr>
            <w:r w:rsidRPr="00BD7365">
              <w:rPr>
                <w:rFonts w:ascii="Arial" w:eastAsia="Times New Roman" w:hAnsi="Arial" w:cs="Arial"/>
                <w:sz w:val="24"/>
                <w:szCs w:val="24"/>
              </w:rPr>
              <w:t>50.377</w:t>
            </w:r>
          </w:p>
        </w:tc>
      </w:tr>
      <w:tr w:rsidR="00D30FBE" w:rsidTr="00D66254">
        <w:trPr>
          <w:trHeight w:val="288"/>
        </w:trPr>
        <w:tc>
          <w:tcPr>
            <w:tcW w:w="2460" w:type="dxa"/>
            <w:shd w:val="clear" w:color="auto" w:fill="auto"/>
            <w:noWrap/>
            <w:vAlign w:val="bottom"/>
            <w:hideMark/>
          </w:tcPr>
          <w:p w:rsidR="003B1158" w:rsidRPr="00BD7365" w:rsidRDefault="001A745E" w:rsidP="00D66254">
            <w:pPr>
              <w:spacing w:after="0" w:line="480" w:lineRule="auto"/>
              <w:jc w:val="center"/>
              <w:rPr>
                <w:rFonts w:ascii="Arial" w:eastAsia="Times New Roman" w:hAnsi="Arial" w:cs="Arial"/>
                <w:b/>
                <w:bCs/>
                <w:sz w:val="24"/>
                <w:szCs w:val="24"/>
              </w:rPr>
            </w:pPr>
            <w:r w:rsidRPr="00BD7365">
              <w:rPr>
                <w:rFonts w:ascii="Arial" w:eastAsia="Times New Roman" w:hAnsi="Arial" w:cs="Arial"/>
                <w:b/>
                <w:bCs/>
                <w:sz w:val="24"/>
                <w:szCs w:val="24"/>
              </w:rPr>
              <w:t xml:space="preserve">PRISON </w:t>
            </w:r>
          </w:p>
        </w:tc>
        <w:tc>
          <w:tcPr>
            <w:tcW w:w="2320" w:type="dxa"/>
            <w:shd w:val="clear" w:color="auto" w:fill="auto"/>
            <w:noWrap/>
            <w:vAlign w:val="bottom"/>
            <w:hideMark/>
          </w:tcPr>
          <w:p w:rsidR="003B1158" w:rsidRPr="00BD7365" w:rsidRDefault="001A745E" w:rsidP="00D66254">
            <w:pPr>
              <w:spacing w:after="0" w:line="480" w:lineRule="auto"/>
              <w:jc w:val="center"/>
              <w:rPr>
                <w:rFonts w:ascii="Arial" w:eastAsia="Times New Roman" w:hAnsi="Arial" w:cs="Arial"/>
                <w:sz w:val="24"/>
                <w:szCs w:val="24"/>
              </w:rPr>
            </w:pPr>
            <w:r w:rsidRPr="00BD7365">
              <w:rPr>
                <w:rFonts w:ascii="Arial" w:eastAsia="Times New Roman" w:hAnsi="Arial" w:cs="Arial"/>
                <w:sz w:val="24"/>
                <w:szCs w:val="24"/>
              </w:rPr>
              <w:t>83.186</w:t>
            </w:r>
          </w:p>
        </w:tc>
        <w:tc>
          <w:tcPr>
            <w:tcW w:w="2000" w:type="dxa"/>
            <w:shd w:val="clear" w:color="auto" w:fill="auto"/>
            <w:noWrap/>
            <w:vAlign w:val="bottom"/>
            <w:hideMark/>
          </w:tcPr>
          <w:p w:rsidR="003B1158" w:rsidRPr="00BD7365" w:rsidRDefault="001A745E" w:rsidP="00D66254">
            <w:pPr>
              <w:spacing w:after="0" w:line="480" w:lineRule="auto"/>
              <w:jc w:val="center"/>
              <w:rPr>
                <w:rFonts w:ascii="Arial" w:eastAsia="Times New Roman" w:hAnsi="Arial" w:cs="Arial"/>
                <w:sz w:val="24"/>
                <w:szCs w:val="24"/>
              </w:rPr>
            </w:pPr>
            <w:r w:rsidRPr="00BD7365">
              <w:rPr>
                <w:rFonts w:ascii="Arial" w:eastAsia="Times New Roman" w:hAnsi="Arial" w:cs="Arial"/>
                <w:sz w:val="24"/>
                <w:szCs w:val="24"/>
              </w:rPr>
              <w:t>16.814</w:t>
            </w:r>
          </w:p>
        </w:tc>
      </w:tr>
    </w:tbl>
    <w:p w:rsidR="003B1158" w:rsidRPr="007E14EE" w:rsidRDefault="003B1158" w:rsidP="003B1158">
      <w:pPr>
        <w:pStyle w:val="Caption"/>
        <w:spacing w:line="480" w:lineRule="auto"/>
        <w:rPr>
          <w:rFonts w:ascii="Arial" w:hAnsi="Arial" w:cs="Arial"/>
          <w:sz w:val="24"/>
          <w:szCs w:val="24"/>
        </w:rPr>
      </w:pPr>
    </w:p>
    <w:p w:rsidR="003B1158" w:rsidRPr="007E14EE" w:rsidRDefault="001A745E" w:rsidP="003B1158">
      <w:pPr>
        <w:pStyle w:val="Caption"/>
        <w:spacing w:line="480" w:lineRule="auto"/>
        <w:jc w:val="center"/>
        <w:rPr>
          <w:rFonts w:ascii="Arial" w:hAnsi="Arial" w:cs="Arial"/>
          <w:b/>
          <w:bCs/>
          <w:i w:val="0"/>
          <w:iCs w:val="0"/>
          <w:color w:val="000000"/>
          <w:sz w:val="24"/>
          <w:szCs w:val="24"/>
        </w:rPr>
      </w:pPr>
      <w:r w:rsidRPr="007E14EE">
        <w:rPr>
          <w:rFonts w:ascii="Arial" w:hAnsi="Arial" w:cs="Arial"/>
          <w:sz w:val="24"/>
          <w:szCs w:val="24"/>
        </w:rPr>
        <w:t>Figure 3: Gender disparity in the state of Texas and its prisons</w:t>
      </w:r>
    </w:p>
    <w:p w:rsidR="003B1158" w:rsidRPr="007E14EE" w:rsidRDefault="001A745E" w:rsidP="003B1158">
      <w:pPr>
        <w:pStyle w:val="Heading2"/>
      </w:pPr>
      <w:r w:rsidRPr="007E14EE">
        <w:rPr>
          <w:noProof/>
        </w:rPr>
        <w:lastRenderedPageBreak/>
        <w:drawing>
          <wp:inline distT="0" distB="0" distL="0" distR="0">
            <wp:extent cx="4274820" cy="2567940"/>
            <wp:effectExtent l="0" t="0" r="11430" b="3810"/>
            <wp:docPr id="1" name="Chart 1">
              <a:extLst xmlns:a="http://schemas.openxmlformats.org/drawingml/2006/main">
                <a:ext uri="{FF2B5EF4-FFF2-40B4-BE49-F238E27FC236}">
                  <a16:creationId xmlns:a16="http://schemas.microsoft.com/office/drawing/2014/main" id="{2657FD99-8276-4BD3-9E8D-9B437883F3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B1158" w:rsidRPr="007E14EE" w:rsidRDefault="001A745E" w:rsidP="003B1158">
      <w:pPr>
        <w:spacing w:line="480" w:lineRule="auto"/>
        <w:ind w:firstLine="720"/>
        <w:rPr>
          <w:rFonts w:ascii="Arial" w:hAnsi="Arial" w:cs="Arial"/>
          <w:sz w:val="24"/>
          <w:szCs w:val="24"/>
        </w:rPr>
      </w:pPr>
      <w:r w:rsidRPr="007E14EE">
        <w:rPr>
          <w:rFonts w:ascii="Arial" w:hAnsi="Arial" w:cs="Arial"/>
          <w:sz w:val="24"/>
          <w:szCs w:val="24"/>
        </w:rPr>
        <w:t xml:space="preserve">The total population in Texas is 49.62% male and 50.38% female, whereas the total </w:t>
      </w:r>
      <w:r w:rsidRPr="007E14EE">
        <w:rPr>
          <w:rFonts w:ascii="Arial" w:hAnsi="Arial" w:cs="Arial"/>
          <w:sz w:val="24"/>
          <w:szCs w:val="24"/>
        </w:rPr>
        <w:t>population in its prisons is 83.19% male and 16.81%. The bar graph above shows a significant gender misrepresentation in each race in prisons within the state of Texas.</w:t>
      </w:r>
    </w:p>
    <w:p w:rsidR="003B1158" w:rsidRPr="007E14EE" w:rsidRDefault="001A745E" w:rsidP="003B1158">
      <w:pPr>
        <w:spacing w:line="480" w:lineRule="auto"/>
        <w:rPr>
          <w:rFonts w:ascii="Arial" w:hAnsi="Arial" w:cs="Arial"/>
          <w:b/>
          <w:bCs/>
          <w:sz w:val="24"/>
          <w:szCs w:val="24"/>
        </w:rPr>
      </w:pPr>
      <w:r w:rsidRPr="007E14EE">
        <w:rPr>
          <w:rFonts w:ascii="Arial" w:hAnsi="Arial" w:cs="Arial"/>
          <w:b/>
          <w:bCs/>
          <w:sz w:val="24"/>
          <w:szCs w:val="24"/>
        </w:rPr>
        <w:t>Demographic comparison and racial representation.</w:t>
      </w:r>
    </w:p>
    <w:p w:rsidR="003B1158" w:rsidRPr="007E14EE" w:rsidRDefault="001A745E" w:rsidP="003B1158">
      <w:pPr>
        <w:pStyle w:val="Caption"/>
        <w:spacing w:line="480" w:lineRule="auto"/>
        <w:jc w:val="center"/>
        <w:rPr>
          <w:rFonts w:ascii="Arial" w:hAnsi="Arial" w:cs="Arial"/>
          <w:b/>
          <w:bCs/>
          <w:i w:val="0"/>
          <w:iCs w:val="0"/>
          <w:color w:val="000000"/>
          <w:sz w:val="24"/>
          <w:szCs w:val="24"/>
        </w:rPr>
      </w:pPr>
      <w:r w:rsidRPr="007E14EE">
        <w:rPr>
          <w:rFonts w:ascii="Arial" w:hAnsi="Arial" w:cs="Arial"/>
          <w:sz w:val="24"/>
          <w:szCs w:val="24"/>
        </w:rPr>
        <w:t xml:space="preserve">Table 4: Racial </w:t>
      </w:r>
      <w:r w:rsidRPr="007E14EE">
        <w:rPr>
          <w:rFonts w:ascii="Arial" w:hAnsi="Arial" w:cs="Arial"/>
          <w:sz w:val="24"/>
          <w:szCs w:val="24"/>
        </w:rPr>
        <w:t>representation in the state of Texas and its prisons</w:t>
      </w:r>
    </w:p>
    <w:tbl>
      <w:tblPr>
        <w:tblW w:w="6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2320"/>
        <w:gridCol w:w="2000"/>
      </w:tblGrid>
      <w:tr w:rsidR="00D30FBE" w:rsidTr="00D66254">
        <w:trPr>
          <w:trHeight w:val="288"/>
        </w:trPr>
        <w:tc>
          <w:tcPr>
            <w:tcW w:w="246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b/>
                <w:bCs/>
                <w:sz w:val="24"/>
                <w:szCs w:val="24"/>
              </w:rPr>
            </w:pPr>
            <w:r w:rsidRPr="004C4069">
              <w:rPr>
                <w:rFonts w:ascii="Arial" w:eastAsia="Times New Roman" w:hAnsi="Arial" w:cs="Arial"/>
                <w:b/>
                <w:bCs/>
                <w:sz w:val="24"/>
                <w:szCs w:val="24"/>
              </w:rPr>
              <w:t>Total Pop Total</w:t>
            </w:r>
          </w:p>
        </w:tc>
        <w:tc>
          <w:tcPr>
            <w:tcW w:w="232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b/>
                <w:bCs/>
                <w:sz w:val="24"/>
                <w:szCs w:val="24"/>
              </w:rPr>
            </w:pPr>
            <w:r w:rsidRPr="004C4069">
              <w:rPr>
                <w:rFonts w:ascii="Arial" w:eastAsia="Times New Roman" w:hAnsi="Arial" w:cs="Arial"/>
                <w:b/>
                <w:bCs/>
                <w:sz w:val="24"/>
                <w:szCs w:val="24"/>
              </w:rPr>
              <w:t>POPULATION IN TEXAS (%)</w:t>
            </w:r>
          </w:p>
        </w:tc>
        <w:tc>
          <w:tcPr>
            <w:tcW w:w="200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b/>
                <w:bCs/>
                <w:sz w:val="24"/>
                <w:szCs w:val="24"/>
              </w:rPr>
            </w:pPr>
            <w:r w:rsidRPr="004C4069">
              <w:rPr>
                <w:rFonts w:ascii="Arial" w:eastAsia="Times New Roman" w:hAnsi="Arial" w:cs="Arial"/>
                <w:b/>
                <w:bCs/>
                <w:sz w:val="24"/>
                <w:szCs w:val="24"/>
              </w:rPr>
              <w:t>POPULATION IN PRISON (%)</w:t>
            </w:r>
          </w:p>
        </w:tc>
      </w:tr>
      <w:tr w:rsidR="00D30FBE" w:rsidTr="00D66254">
        <w:trPr>
          <w:trHeight w:val="288"/>
        </w:trPr>
        <w:tc>
          <w:tcPr>
            <w:tcW w:w="246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sz w:val="24"/>
                <w:szCs w:val="24"/>
              </w:rPr>
            </w:pPr>
            <w:r w:rsidRPr="007E14EE">
              <w:rPr>
                <w:rFonts w:ascii="Arial" w:eastAsia="Times New Roman" w:hAnsi="Arial" w:cs="Arial"/>
                <w:sz w:val="24"/>
                <w:szCs w:val="24"/>
              </w:rPr>
              <w:t>W</w:t>
            </w:r>
            <w:r w:rsidRPr="004C4069">
              <w:rPr>
                <w:rFonts w:ascii="Arial" w:eastAsia="Times New Roman" w:hAnsi="Arial" w:cs="Arial"/>
                <w:sz w:val="24"/>
                <w:szCs w:val="24"/>
              </w:rPr>
              <w:t>hite</w:t>
            </w:r>
          </w:p>
        </w:tc>
        <w:tc>
          <w:tcPr>
            <w:tcW w:w="232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sz w:val="24"/>
                <w:szCs w:val="24"/>
              </w:rPr>
            </w:pPr>
            <w:r w:rsidRPr="004C4069">
              <w:rPr>
                <w:rFonts w:ascii="Arial" w:eastAsia="Times New Roman" w:hAnsi="Arial" w:cs="Arial"/>
                <w:sz w:val="24"/>
                <w:szCs w:val="24"/>
              </w:rPr>
              <w:t>42.609</w:t>
            </w:r>
          </w:p>
        </w:tc>
        <w:tc>
          <w:tcPr>
            <w:tcW w:w="200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sz w:val="24"/>
                <w:szCs w:val="24"/>
              </w:rPr>
            </w:pPr>
            <w:r w:rsidRPr="004C4069">
              <w:rPr>
                <w:rFonts w:ascii="Arial" w:eastAsia="Times New Roman" w:hAnsi="Arial" w:cs="Arial"/>
                <w:sz w:val="24"/>
                <w:szCs w:val="24"/>
              </w:rPr>
              <w:t>38.886</w:t>
            </w:r>
          </w:p>
        </w:tc>
      </w:tr>
      <w:tr w:rsidR="00D30FBE" w:rsidTr="00D66254">
        <w:trPr>
          <w:trHeight w:val="288"/>
        </w:trPr>
        <w:tc>
          <w:tcPr>
            <w:tcW w:w="246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sz w:val="24"/>
                <w:szCs w:val="24"/>
              </w:rPr>
            </w:pPr>
            <w:r w:rsidRPr="007E14EE">
              <w:rPr>
                <w:rFonts w:ascii="Arial" w:eastAsia="Times New Roman" w:hAnsi="Arial" w:cs="Arial"/>
                <w:sz w:val="24"/>
                <w:szCs w:val="24"/>
              </w:rPr>
              <w:t>B</w:t>
            </w:r>
            <w:r w:rsidRPr="004C4069">
              <w:rPr>
                <w:rFonts w:ascii="Arial" w:eastAsia="Times New Roman" w:hAnsi="Arial" w:cs="Arial"/>
                <w:sz w:val="24"/>
                <w:szCs w:val="24"/>
              </w:rPr>
              <w:t>lack</w:t>
            </w:r>
          </w:p>
        </w:tc>
        <w:tc>
          <w:tcPr>
            <w:tcW w:w="232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sz w:val="24"/>
                <w:szCs w:val="24"/>
              </w:rPr>
            </w:pPr>
            <w:r w:rsidRPr="004C4069">
              <w:rPr>
                <w:rFonts w:ascii="Arial" w:eastAsia="Times New Roman" w:hAnsi="Arial" w:cs="Arial"/>
                <w:sz w:val="24"/>
                <w:szCs w:val="24"/>
              </w:rPr>
              <w:t>11.862</w:t>
            </w:r>
          </w:p>
        </w:tc>
        <w:tc>
          <w:tcPr>
            <w:tcW w:w="200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sz w:val="24"/>
                <w:szCs w:val="24"/>
              </w:rPr>
            </w:pPr>
            <w:r w:rsidRPr="004C4069">
              <w:rPr>
                <w:rFonts w:ascii="Arial" w:eastAsia="Times New Roman" w:hAnsi="Arial" w:cs="Arial"/>
                <w:sz w:val="24"/>
                <w:szCs w:val="24"/>
              </w:rPr>
              <w:t>27.061</w:t>
            </w:r>
          </w:p>
        </w:tc>
      </w:tr>
      <w:tr w:rsidR="00D30FBE" w:rsidTr="00D66254">
        <w:trPr>
          <w:trHeight w:val="288"/>
        </w:trPr>
        <w:tc>
          <w:tcPr>
            <w:tcW w:w="246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sz w:val="24"/>
                <w:szCs w:val="24"/>
              </w:rPr>
            </w:pPr>
            <w:r w:rsidRPr="007E14EE">
              <w:rPr>
                <w:rFonts w:ascii="Arial" w:eastAsia="Times New Roman" w:hAnsi="Arial" w:cs="Arial"/>
                <w:sz w:val="24"/>
                <w:szCs w:val="24"/>
              </w:rPr>
              <w:t>Hispanic</w:t>
            </w:r>
          </w:p>
        </w:tc>
        <w:tc>
          <w:tcPr>
            <w:tcW w:w="232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sz w:val="24"/>
                <w:szCs w:val="24"/>
              </w:rPr>
            </w:pPr>
            <w:r w:rsidRPr="004C4069">
              <w:rPr>
                <w:rFonts w:ascii="Arial" w:eastAsia="Times New Roman" w:hAnsi="Arial" w:cs="Arial"/>
                <w:sz w:val="24"/>
                <w:szCs w:val="24"/>
              </w:rPr>
              <w:t>38.613</w:t>
            </w:r>
          </w:p>
        </w:tc>
        <w:tc>
          <w:tcPr>
            <w:tcW w:w="200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sz w:val="24"/>
                <w:szCs w:val="24"/>
              </w:rPr>
            </w:pPr>
            <w:r w:rsidRPr="004C4069">
              <w:rPr>
                <w:rFonts w:ascii="Arial" w:eastAsia="Times New Roman" w:hAnsi="Arial" w:cs="Arial"/>
                <w:sz w:val="24"/>
                <w:szCs w:val="24"/>
              </w:rPr>
              <w:t>33.546</w:t>
            </w:r>
          </w:p>
        </w:tc>
      </w:tr>
      <w:tr w:rsidR="00D30FBE" w:rsidTr="00D66254">
        <w:trPr>
          <w:trHeight w:val="288"/>
        </w:trPr>
        <w:tc>
          <w:tcPr>
            <w:tcW w:w="246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sz w:val="24"/>
                <w:szCs w:val="24"/>
              </w:rPr>
            </w:pPr>
            <w:r w:rsidRPr="007E14EE">
              <w:rPr>
                <w:rFonts w:ascii="Arial" w:eastAsia="Times New Roman" w:hAnsi="Arial" w:cs="Arial"/>
                <w:sz w:val="24"/>
                <w:szCs w:val="24"/>
              </w:rPr>
              <w:t>O</w:t>
            </w:r>
            <w:r w:rsidRPr="004C4069">
              <w:rPr>
                <w:rFonts w:ascii="Arial" w:eastAsia="Times New Roman" w:hAnsi="Arial" w:cs="Arial"/>
                <w:sz w:val="24"/>
                <w:szCs w:val="24"/>
              </w:rPr>
              <w:t>ther</w:t>
            </w:r>
          </w:p>
        </w:tc>
        <w:tc>
          <w:tcPr>
            <w:tcW w:w="232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sz w:val="24"/>
                <w:szCs w:val="24"/>
              </w:rPr>
            </w:pPr>
            <w:r w:rsidRPr="004C4069">
              <w:rPr>
                <w:rFonts w:ascii="Arial" w:eastAsia="Times New Roman" w:hAnsi="Arial" w:cs="Arial"/>
                <w:sz w:val="24"/>
                <w:szCs w:val="24"/>
              </w:rPr>
              <w:t>6.916</w:t>
            </w:r>
          </w:p>
        </w:tc>
        <w:tc>
          <w:tcPr>
            <w:tcW w:w="2000" w:type="dxa"/>
            <w:shd w:val="clear" w:color="auto" w:fill="auto"/>
            <w:noWrap/>
            <w:vAlign w:val="bottom"/>
            <w:hideMark/>
          </w:tcPr>
          <w:p w:rsidR="003B1158" w:rsidRPr="004C4069" w:rsidRDefault="001A745E" w:rsidP="00D66254">
            <w:pPr>
              <w:spacing w:after="0" w:line="480" w:lineRule="auto"/>
              <w:jc w:val="center"/>
              <w:rPr>
                <w:rFonts w:ascii="Arial" w:eastAsia="Times New Roman" w:hAnsi="Arial" w:cs="Arial"/>
                <w:sz w:val="24"/>
                <w:szCs w:val="24"/>
              </w:rPr>
            </w:pPr>
            <w:r w:rsidRPr="004C4069">
              <w:rPr>
                <w:rFonts w:ascii="Arial" w:eastAsia="Times New Roman" w:hAnsi="Arial" w:cs="Arial"/>
                <w:sz w:val="24"/>
                <w:szCs w:val="24"/>
              </w:rPr>
              <w:t>0.506</w:t>
            </w:r>
          </w:p>
        </w:tc>
      </w:tr>
    </w:tbl>
    <w:p w:rsidR="003B1158" w:rsidRPr="007E14EE" w:rsidRDefault="003B1158" w:rsidP="003B1158">
      <w:pPr>
        <w:spacing w:line="480" w:lineRule="auto"/>
        <w:rPr>
          <w:rFonts w:ascii="Arial" w:hAnsi="Arial" w:cs="Arial"/>
          <w:sz w:val="24"/>
          <w:szCs w:val="24"/>
        </w:rPr>
      </w:pPr>
    </w:p>
    <w:p w:rsidR="003B1158" w:rsidRPr="007E14EE" w:rsidRDefault="001A745E" w:rsidP="003B1158">
      <w:pPr>
        <w:pStyle w:val="Caption"/>
        <w:spacing w:line="480" w:lineRule="auto"/>
        <w:jc w:val="center"/>
        <w:rPr>
          <w:rFonts w:ascii="Arial" w:hAnsi="Arial" w:cs="Arial"/>
          <w:sz w:val="24"/>
          <w:szCs w:val="24"/>
        </w:rPr>
      </w:pPr>
      <w:r w:rsidRPr="007E14EE">
        <w:rPr>
          <w:rFonts w:ascii="Arial" w:hAnsi="Arial" w:cs="Arial"/>
          <w:sz w:val="24"/>
          <w:szCs w:val="24"/>
        </w:rPr>
        <w:t xml:space="preserve">Figure 4: Racial representation in the state of </w:t>
      </w:r>
      <w:r w:rsidRPr="007E14EE">
        <w:rPr>
          <w:rFonts w:ascii="Arial" w:hAnsi="Arial" w:cs="Arial"/>
          <w:sz w:val="24"/>
          <w:szCs w:val="24"/>
        </w:rPr>
        <w:t>Texas and its prisons</w:t>
      </w:r>
    </w:p>
    <w:p w:rsidR="003B1158" w:rsidRPr="007E14EE" w:rsidRDefault="001A745E" w:rsidP="003B1158">
      <w:pPr>
        <w:spacing w:line="480" w:lineRule="auto"/>
        <w:rPr>
          <w:rFonts w:ascii="Arial" w:hAnsi="Arial" w:cs="Arial"/>
          <w:sz w:val="24"/>
          <w:szCs w:val="24"/>
        </w:rPr>
      </w:pPr>
      <w:r w:rsidRPr="007E14EE">
        <w:rPr>
          <w:rFonts w:ascii="Arial" w:hAnsi="Arial" w:cs="Arial"/>
          <w:noProof/>
          <w:sz w:val="24"/>
          <w:szCs w:val="24"/>
        </w:rPr>
        <w:lastRenderedPageBreak/>
        <w:drawing>
          <wp:inline distT="0" distB="0" distL="0" distR="0">
            <wp:extent cx="4572000" cy="2743200"/>
            <wp:effectExtent l="0" t="0" r="0" b="0"/>
            <wp:docPr id="6" name="Chart 6">
              <a:extLst xmlns:a="http://schemas.openxmlformats.org/drawingml/2006/main">
                <a:ext uri="{FF2B5EF4-FFF2-40B4-BE49-F238E27FC236}">
                  <a16:creationId xmlns:a16="http://schemas.microsoft.com/office/drawing/2014/main" id="{5C6F9E55-779F-4CC5-A194-A853420C2C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B1158" w:rsidRPr="007E14EE" w:rsidRDefault="001A745E" w:rsidP="003B1158">
      <w:pPr>
        <w:spacing w:line="480" w:lineRule="auto"/>
        <w:ind w:firstLine="720"/>
        <w:rPr>
          <w:rFonts w:ascii="Arial" w:hAnsi="Arial" w:cs="Arial"/>
          <w:sz w:val="24"/>
          <w:szCs w:val="24"/>
        </w:rPr>
      </w:pPr>
      <w:r w:rsidRPr="007E14EE">
        <w:rPr>
          <w:rFonts w:ascii="Arial" w:hAnsi="Arial" w:cs="Arial"/>
          <w:sz w:val="24"/>
          <w:szCs w:val="24"/>
        </w:rPr>
        <w:t>From the data above, the current population of Texas does not match the overall current prison population. For the prison population to reflect the state racial demographics, the incarcerated blacks, currently standing at 27.06%, sh</w:t>
      </w:r>
      <w:r w:rsidRPr="007E14EE">
        <w:rPr>
          <w:rFonts w:ascii="Arial" w:hAnsi="Arial" w:cs="Arial"/>
          <w:sz w:val="24"/>
          <w:szCs w:val="24"/>
        </w:rPr>
        <w:t>ould be at least slightly lower than the state of Texas' black population, which is 11.86% of the total population of Texas. Looking at the other race population, it can be observed that all of them are slightly lower than that of the state. The population</w:t>
      </w:r>
      <w:r w:rsidRPr="007E14EE">
        <w:rPr>
          <w:rFonts w:ascii="Arial" w:hAnsi="Arial" w:cs="Arial"/>
          <w:sz w:val="24"/>
          <w:szCs w:val="24"/>
        </w:rPr>
        <w:t xml:space="preserve"> of blacks in the only population breaking this trend by a wide margin.</w:t>
      </w:r>
    </w:p>
    <w:p w:rsidR="003B1158" w:rsidRDefault="001A745E" w:rsidP="003B1158">
      <w:pPr>
        <w:spacing w:line="480" w:lineRule="auto"/>
        <w:ind w:firstLine="720"/>
        <w:rPr>
          <w:rFonts w:ascii="Arial" w:hAnsi="Arial" w:cs="Arial"/>
          <w:color w:val="333333"/>
          <w:sz w:val="24"/>
          <w:szCs w:val="24"/>
          <w:shd w:val="clear" w:color="auto" w:fill="FFFFFF"/>
        </w:rPr>
      </w:pPr>
      <w:r w:rsidRPr="007E14EE">
        <w:rPr>
          <w:rFonts w:ascii="Arial" w:hAnsi="Arial" w:cs="Arial"/>
          <w:sz w:val="24"/>
          <w:szCs w:val="24"/>
        </w:rPr>
        <w:t xml:space="preserve">In the united states, the defendant and offender's ethnicity has significantly influenced judicial decision-making. </w:t>
      </w:r>
      <w:r w:rsidRPr="007E14EE">
        <w:rPr>
          <w:rFonts w:ascii="Arial" w:hAnsi="Arial" w:cs="Arial"/>
          <w:color w:val="333333"/>
          <w:sz w:val="24"/>
          <w:szCs w:val="24"/>
          <w:shd w:val="clear" w:color="auto" w:fill="FFFFFF"/>
        </w:rPr>
        <w:t>Steffensmeier &amp; Demuth (2006) observed that Hispanics and Blacks wer</w:t>
      </w:r>
      <w:r w:rsidRPr="007E14EE">
        <w:rPr>
          <w:rFonts w:ascii="Arial" w:hAnsi="Arial" w:cs="Arial"/>
          <w:color w:val="333333"/>
          <w:sz w:val="24"/>
          <w:szCs w:val="24"/>
          <w:shd w:val="clear" w:color="auto" w:fill="FFFFFF"/>
        </w:rPr>
        <w:t>e comparatively highly likely to be incarcerated as well as receive longer sentences than their white counterparts.  Additionally, young black males also received harsh sentences than any other ethnic group or race (Steffensmeier &amp; Demuth, 2006). According</w:t>
      </w:r>
      <w:r w:rsidRPr="007E14EE">
        <w:rPr>
          <w:rFonts w:ascii="Arial" w:hAnsi="Arial" w:cs="Arial"/>
          <w:color w:val="333333"/>
          <w:sz w:val="24"/>
          <w:szCs w:val="24"/>
          <w:shd w:val="clear" w:color="auto" w:fill="FFFFFF"/>
        </w:rPr>
        <w:t xml:space="preserve"> to Wu (2016), Hispanics and blacks are highly likely to be arrested though many of these arrests do not end up in sentencing in front of a jury or a </w:t>
      </w:r>
      <w:r w:rsidRPr="007E14EE">
        <w:rPr>
          <w:rFonts w:ascii="Arial" w:hAnsi="Arial" w:cs="Arial"/>
          <w:color w:val="333333"/>
          <w:sz w:val="24"/>
          <w:szCs w:val="24"/>
          <w:shd w:val="clear" w:color="auto" w:fill="FFFFFF"/>
        </w:rPr>
        <w:lastRenderedPageBreak/>
        <w:t>judge</w:t>
      </w:r>
      <w:r w:rsidRPr="007E14EE">
        <w:rPr>
          <w:rFonts w:ascii="Arial" w:eastAsia="Times New Roman" w:hAnsi="Arial" w:cs="Arial"/>
          <w:color w:val="333333"/>
          <w:sz w:val="24"/>
          <w:szCs w:val="24"/>
        </w:rPr>
        <w:t xml:space="preserve"> (Wu, 2016)</w:t>
      </w:r>
      <w:r w:rsidRPr="007E14EE">
        <w:rPr>
          <w:rFonts w:ascii="Arial" w:hAnsi="Arial" w:cs="Arial"/>
          <w:color w:val="333333"/>
          <w:sz w:val="24"/>
          <w:szCs w:val="24"/>
          <w:shd w:val="clear" w:color="auto" w:fill="FFFFFF"/>
        </w:rPr>
        <w:t>. Blacks youth are more likely to face vulnerability from police encounters than any other</w:t>
      </w:r>
      <w:r w:rsidRPr="007E14EE">
        <w:rPr>
          <w:rFonts w:ascii="Arial" w:hAnsi="Arial" w:cs="Arial"/>
          <w:color w:val="333333"/>
          <w:sz w:val="24"/>
          <w:szCs w:val="24"/>
          <w:shd w:val="clear" w:color="auto" w:fill="FFFFFF"/>
        </w:rPr>
        <w:t xml:space="preserve"> American youth (Fine &amp; Cauffman, 2015).  The race of the offender, at this point, also influences whether the prosecutor will pursue the case to full prosecution. Wu (2016) father adds that black and Hispanics are significantly likely to be sent to prison</w:t>
      </w:r>
      <w:r w:rsidRPr="007E14EE">
        <w:rPr>
          <w:rFonts w:ascii="Arial" w:hAnsi="Arial" w:cs="Arial"/>
          <w:color w:val="333333"/>
          <w:sz w:val="24"/>
          <w:szCs w:val="24"/>
          <w:shd w:val="clear" w:color="auto" w:fill="FFFFFF"/>
        </w:rPr>
        <w:t xml:space="preserve"> rather than jail and jail rather than probation. In contrast, the inverse is incredibly highly possible for white offenders.</w:t>
      </w:r>
    </w:p>
    <w:p w:rsidR="003B1158" w:rsidRPr="007E14EE" w:rsidRDefault="001A745E" w:rsidP="003B1158">
      <w:pPr>
        <w:spacing w:line="480" w:lineRule="auto"/>
        <w:ind w:firstLine="720"/>
        <w:rPr>
          <w:rFonts w:ascii="Arial" w:hAnsi="Arial" w:cs="Arial"/>
          <w:color w:val="333333"/>
          <w:sz w:val="24"/>
          <w:szCs w:val="24"/>
          <w:shd w:val="clear" w:color="auto" w:fill="FFFFFF"/>
        </w:rPr>
      </w:pPr>
      <w:r>
        <w:rPr>
          <w:rFonts w:ascii="Arial" w:hAnsi="Arial" w:cs="Arial"/>
          <w:color w:val="333333"/>
          <w:sz w:val="24"/>
          <w:szCs w:val="24"/>
          <w:shd w:val="clear" w:color="auto" w:fill="FFFFFF"/>
        </w:rPr>
        <w:t>In conclusion, i</w:t>
      </w:r>
      <w:r w:rsidRPr="007E14EE">
        <w:rPr>
          <w:rFonts w:ascii="Arial" w:hAnsi="Arial" w:cs="Arial"/>
          <w:color w:val="333333"/>
          <w:sz w:val="24"/>
          <w:szCs w:val="24"/>
          <w:shd w:val="clear" w:color="auto" w:fill="FFFFFF"/>
        </w:rPr>
        <w:t xml:space="preserve">f these assertions were to be disregarded for business, the rate of crime offenses varies by ethnicity and </w:t>
      </w:r>
      <w:r w:rsidRPr="007E14EE">
        <w:rPr>
          <w:rFonts w:ascii="Arial" w:hAnsi="Arial" w:cs="Arial"/>
          <w:color w:val="333333"/>
          <w:sz w:val="24"/>
          <w:szCs w:val="24"/>
          <w:shd w:val="clear" w:color="auto" w:fill="FFFFFF"/>
        </w:rPr>
        <w:t>race. Native American, Hispanic and black adolescents have recorded significantly higher involvement in violent activities compared to their white counterparts (Morenoff, 2005).</w:t>
      </w:r>
    </w:p>
    <w:p w:rsidR="003B1158" w:rsidRPr="007E14EE" w:rsidRDefault="001A745E" w:rsidP="003B1158">
      <w:pPr>
        <w:spacing w:line="480" w:lineRule="auto"/>
        <w:rPr>
          <w:rFonts w:ascii="Arial" w:hAnsi="Arial" w:cs="Arial"/>
          <w:color w:val="333333"/>
          <w:sz w:val="24"/>
          <w:szCs w:val="24"/>
          <w:shd w:val="clear" w:color="auto" w:fill="FFFFFF"/>
        </w:rPr>
      </w:pPr>
      <w:r w:rsidRPr="007E14EE">
        <w:rPr>
          <w:rFonts w:ascii="Arial" w:hAnsi="Arial" w:cs="Arial"/>
          <w:color w:val="333333"/>
          <w:sz w:val="24"/>
          <w:szCs w:val="24"/>
          <w:shd w:val="clear" w:color="auto" w:fill="FFFFFF"/>
        </w:rPr>
        <w:br w:type="page"/>
      </w:r>
    </w:p>
    <w:p w:rsidR="003B1158" w:rsidRPr="007E14EE" w:rsidRDefault="001A745E" w:rsidP="003B1158">
      <w:pPr>
        <w:spacing w:line="480" w:lineRule="auto"/>
        <w:jc w:val="center"/>
        <w:rPr>
          <w:rFonts w:ascii="Arial" w:hAnsi="Arial" w:cs="Arial"/>
          <w:color w:val="333333"/>
          <w:sz w:val="24"/>
          <w:szCs w:val="24"/>
          <w:shd w:val="clear" w:color="auto" w:fill="FFFFFF"/>
        </w:rPr>
      </w:pPr>
      <w:r w:rsidRPr="007E14EE">
        <w:rPr>
          <w:rFonts w:ascii="Arial" w:hAnsi="Arial" w:cs="Arial"/>
          <w:color w:val="333333"/>
          <w:sz w:val="24"/>
          <w:szCs w:val="24"/>
          <w:shd w:val="clear" w:color="auto" w:fill="FFFFFF"/>
        </w:rPr>
        <w:lastRenderedPageBreak/>
        <w:t>References</w:t>
      </w:r>
    </w:p>
    <w:p w:rsidR="003B1158" w:rsidRPr="007E14EE" w:rsidRDefault="001A745E" w:rsidP="003B1158">
      <w:pPr>
        <w:shd w:val="clear" w:color="auto" w:fill="FFFFFF"/>
        <w:spacing w:after="0" w:line="480" w:lineRule="auto"/>
        <w:ind w:left="720" w:hanging="720"/>
        <w:rPr>
          <w:rFonts w:ascii="Arial" w:eastAsia="Times New Roman" w:hAnsi="Arial" w:cs="Arial"/>
          <w:sz w:val="24"/>
          <w:szCs w:val="24"/>
        </w:rPr>
      </w:pPr>
      <w:r w:rsidRPr="007E14EE">
        <w:rPr>
          <w:rFonts w:ascii="Arial" w:eastAsia="Times New Roman" w:hAnsi="Arial" w:cs="Arial"/>
          <w:sz w:val="24"/>
          <w:szCs w:val="24"/>
        </w:rPr>
        <w:t>Fine, A., &amp; Cauffman, E. (2015). Race and justice system attitude</w:t>
      </w:r>
      <w:r w:rsidRPr="007E14EE">
        <w:rPr>
          <w:rFonts w:ascii="Arial" w:eastAsia="Times New Roman" w:hAnsi="Arial" w:cs="Arial"/>
          <w:sz w:val="24"/>
          <w:szCs w:val="24"/>
        </w:rPr>
        <w:t xml:space="preserve"> formation during the transition to adulthood.</w:t>
      </w:r>
      <w:r w:rsidRPr="007E14EE">
        <w:rPr>
          <w:rFonts w:ascii="Arial" w:eastAsia="Times New Roman" w:hAnsi="Arial" w:cs="Arial"/>
          <w:i/>
          <w:iCs/>
          <w:sz w:val="24"/>
          <w:szCs w:val="24"/>
        </w:rPr>
        <w:t> Journal of Developmental and Life-Course Criminology</w:t>
      </w:r>
      <w:r w:rsidRPr="007E14EE">
        <w:rPr>
          <w:rFonts w:ascii="Arial" w:eastAsia="Times New Roman" w:hAnsi="Arial" w:cs="Arial"/>
          <w:sz w:val="24"/>
          <w:szCs w:val="24"/>
        </w:rPr>
        <w:t xml:space="preserve">, 1(4), 325–349. </w:t>
      </w:r>
      <w:hyperlink r:id="rId11" w:history="1">
        <w:r w:rsidRPr="007E14EE">
          <w:rPr>
            <w:rStyle w:val="Hyperlink"/>
            <w:rFonts w:ascii="Arial" w:eastAsia="Times New Roman" w:hAnsi="Arial" w:cs="Arial"/>
            <w:color w:val="auto"/>
            <w:sz w:val="24"/>
            <w:szCs w:val="24"/>
            <w:u w:val="none"/>
          </w:rPr>
          <w:t>http://doi.org/10.1007/s40865-015-0021-2</w:t>
        </w:r>
      </w:hyperlink>
    </w:p>
    <w:p w:rsidR="003B1158" w:rsidRPr="007E14EE" w:rsidRDefault="001A745E" w:rsidP="003B1158">
      <w:pPr>
        <w:shd w:val="clear" w:color="auto" w:fill="FFFFFF"/>
        <w:spacing w:after="0" w:line="480" w:lineRule="auto"/>
        <w:ind w:left="720" w:hanging="720"/>
        <w:rPr>
          <w:rFonts w:ascii="Arial" w:eastAsia="Times New Roman" w:hAnsi="Arial" w:cs="Arial"/>
          <w:sz w:val="24"/>
          <w:szCs w:val="24"/>
        </w:rPr>
      </w:pPr>
      <w:r w:rsidRPr="007E14EE">
        <w:rPr>
          <w:rFonts w:ascii="Arial" w:eastAsia="Times New Roman" w:hAnsi="Arial" w:cs="Arial"/>
          <w:sz w:val="24"/>
          <w:szCs w:val="24"/>
        </w:rPr>
        <w:t>Morenoff, Jeffrey D. “Racial and Ethnic Di</w:t>
      </w:r>
      <w:r w:rsidRPr="007E14EE">
        <w:rPr>
          <w:rFonts w:ascii="Arial" w:eastAsia="Times New Roman" w:hAnsi="Arial" w:cs="Arial"/>
          <w:sz w:val="24"/>
          <w:szCs w:val="24"/>
        </w:rPr>
        <w:t>sparities in Crime and Delinquency in the United States.” Pp. 139-173 in Marta Tienda and Michael Rutter (editors), </w:t>
      </w:r>
      <w:r w:rsidRPr="007E14EE">
        <w:rPr>
          <w:rFonts w:ascii="Arial" w:eastAsia="Times New Roman" w:hAnsi="Arial" w:cs="Arial"/>
          <w:i/>
          <w:iCs/>
          <w:sz w:val="24"/>
          <w:szCs w:val="24"/>
        </w:rPr>
        <w:t>Ethnicity and Causal Mechanisms</w:t>
      </w:r>
      <w:r w:rsidRPr="007E14EE">
        <w:rPr>
          <w:rFonts w:ascii="Arial" w:eastAsia="Times New Roman" w:hAnsi="Arial" w:cs="Arial"/>
          <w:sz w:val="24"/>
          <w:szCs w:val="24"/>
        </w:rPr>
        <w:t>. New York: Cambridge University Press.</w:t>
      </w:r>
    </w:p>
    <w:p w:rsidR="003B1158" w:rsidRPr="007E14EE" w:rsidRDefault="001A745E" w:rsidP="003B1158">
      <w:pPr>
        <w:shd w:val="clear" w:color="auto" w:fill="FFFFFF"/>
        <w:spacing w:line="480" w:lineRule="auto"/>
        <w:ind w:left="720" w:hanging="720"/>
        <w:rPr>
          <w:rFonts w:ascii="Arial" w:eastAsia="Times New Roman" w:hAnsi="Arial" w:cs="Arial"/>
          <w:sz w:val="24"/>
          <w:szCs w:val="24"/>
        </w:rPr>
      </w:pPr>
      <w:r w:rsidRPr="007E14EE">
        <w:rPr>
          <w:rFonts w:ascii="Arial" w:eastAsia="Times New Roman" w:hAnsi="Arial" w:cs="Arial"/>
          <w:sz w:val="24"/>
          <w:szCs w:val="24"/>
        </w:rPr>
        <w:t>Steffensmeier, D., &amp; Demuth, S. (2006). Does Gender Modify the Effect</w:t>
      </w:r>
      <w:r w:rsidRPr="007E14EE">
        <w:rPr>
          <w:rFonts w:ascii="Arial" w:eastAsia="Times New Roman" w:hAnsi="Arial" w:cs="Arial"/>
          <w:sz w:val="24"/>
          <w:szCs w:val="24"/>
        </w:rPr>
        <w:t xml:space="preserve">s of Race–ethnicity on Criminal Sanctioning? Sentences for Male and Female White, Black, and Hispanic Defendants. Journal of Quantitative Criminology, 22(3), 241–261. </w:t>
      </w:r>
      <w:hyperlink r:id="rId12" w:history="1">
        <w:r w:rsidRPr="007E14EE">
          <w:rPr>
            <w:rStyle w:val="Hyperlink"/>
            <w:rFonts w:ascii="Arial" w:eastAsia="Times New Roman" w:hAnsi="Arial" w:cs="Arial"/>
            <w:color w:val="auto"/>
            <w:sz w:val="24"/>
            <w:szCs w:val="24"/>
            <w:u w:val="none"/>
          </w:rPr>
          <w:t>https://doi.org/10.1007/s10940-</w:t>
        </w:r>
        <w:r w:rsidRPr="007E14EE">
          <w:rPr>
            <w:rStyle w:val="Hyperlink"/>
            <w:rFonts w:ascii="Arial" w:eastAsia="Times New Roman" w:hAnsi="Arial" w:cs="Arial"/>
            <w:color w:val="auto"/>
            <w:sz w:val="24"/>
            <w:szCs w:val="24"/>
            <w:u w:val="none"/>
          </w:rPr>
          <w:t>006-9010-2</w:t>
        </w:r>
      </w:hyperlink>
    </w:p>
    <w:p w:rsidR="003B1158" w:rsidRPr="00EF508E" w:rsidRDefault="001A745E" w:rsidP="003B1158">
      <w:pPr>
        <w:shd w:val="clear" w:color="auto" w:fill="FFFFFF"/>
        <w:spacing w:after="160" w:line="480" w:lineRule="auto"/>
        <w:rPr>
          <w:rFonts w:ascii="Arial" w:eastAsia="Times New Roman" w:hAnsi="Arial" w:cs="Arial"/>
          <w:color w:val="333333"/>
          <w:sz w:val="24"/>
          <w:szCs w:val="24"/>
        </w:rPr>
      </w:pPr>
      <w:r w:rsidRPr="007E14EE">
        <w:rPr>
          <w:rFonts w:ascii="Arial" w:eastAsia="Times New Roman" w:hAnsi="Arial" w:cs="Arial"/>
          <w:color w:val="333333"/>
          <w:sz w:val="24"/>
          <w:szCs w:val="24"/>
        </w:rPr>
        <w:t>Wu, J. (2016). Racial/Ethnic Discrimination and Prosecution.</w:t>
      </w:r>
      <w:r w:rsidRPr="007E14EE">
        <w:rPr>
          <w:rFonts w:ascii="Arial" w:eastAsia="Times New Roman" w:hAnsi="Arial" w:cs="Arial"/>
          <w:i/>
          <w:iCs/>
          <w:color w:val="333333"/>
          <w:sz w:val="24"/>
          <w:szCs w:val="24"/>
        </w:rPr>
        <w:t> Criminal Justice &amp; Behaviour</w:t>
      </w:r>
      <w:r w:rsidRPr="007E14EE">
        <w:rPr>
          <w:rFonts w:ascii="Arial" w:eastAsia="Times New Roman" w:hAnsi="Arial" w:cs="Arial"/>
          <w:color w:val="333333"/>
          <w:sz w:val="24"/>
          <w:szCs w:val="24"/>
        </w:rPr>
        <w:t>, 43(4), 437.</w:t>
      </w:r>
    </w:p>
    <w:p w:rsidR="00FA3FEB" w:rsidRDefault="00FA3FEB" w:rsidP="003B1158">
      <w:pPr>
        <w:spacing w:line="480" w:lineRule="auto"/>
        <w:jc w:val="center"/>
        <w:rPr>
          <w:rFonts w:ascii="Times New Roman" w:hAnsi="Times New Roman" w:cs="Times New Roman"/>
          <w:sz w:val="24"/>
          <w:szCs w:val="24"/>
        </w:rPr>
      </w:pPr>
    </w:p>
    <w:sectPr w:rsidR="00FA3FEB" w:rsidSect="00954FE5">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1A745E">
      <w:pPr>
        <w:spacing w:after="0" w:line="240" w:lineRule="auto"/>
      </w:pPr>
      <w:r>
        <w:separator/>
      </w:r>
    </w:p>
  </w:endnote>
  <w:endnote w:type="continuationSeparator" w:id="0">
    <w:p w:rsidR="00000000" w:rsidRDefault="001A7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1A745E">
      <w:pPr>
        <w:spacing w:after="0" w:line="240" w:lineRule="auto"/>
      </w:pPr>
      <w:r>
        <w:separator/>
      </w:r>
    </w:p>
  </w:footnote>
  <w:footnote w:type="continuationSeparator" w:id="0">
    <w:p w:rsidR="00000000" w:rsidRDefault="001A7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3125567"/>
      <w:docPartObj>
        <w:docPartGallery w:val="Page Numbers (Top of Page)"/>
        <w:docPartUnique/>
      </w:docPartObj>
    </w:sdtPr>
    <w:sdtEndPr>
      <w:rPr>
        <w:noProof/>
      </w:rPr>
    </w:sdtEndPr>
    <w:sdtContent>
      <w:p w:rsidR="007F15E7" w:rsidRPr="003B1158" w:rsidRDefault="001A745E" w:rsidP="003B1158">
        <w:pPr>
          <w:rPr>
            <w:rFonts w:ascii="Arial" w:eastAsiaTheme="majorEastAsia" w:hAnsi="Arial" w:cs="Arial"/>
            <w:color w:val="000000"/>
            <w:sz w:val="24"/>
            <w:szCs w:val="24"/>
          </w:rPr>
        </w:pPr>
        <w:r w:rsidRPr="003B1158">
          <w:rPr>
            <w:rFonts w:ascii="Arial" w:hAnsi="Arial" w:cs="Arial"/>
            <w:sz w:val="24"/>
            <w:szCs w:val="24"/>
          </w:rPr>
          <w:t xml:space="preserve">DEMOGRAPHIC PROFILE OF TEXAS AND ITS PRISONS </w:t>
        </w:r>
        <w:r w:rsidRPr="003B1158">
          <w:rPr>
            <w:rFonts w:ascii="Arial" w:hAnsi="Arial" w:cs="Arial"/>
            <w:sz w:val="24"/>
            <w:szCs w:val="24"/>
          </w:rPr>
          <w:tab/>
        </w:r>
        <w:r w:rsidRPr="003B1158">
          <w:rPr>
            <w:rFonts w:ascii="Arial" w:hAnsi="Arial" w:cs="Arial"/>
            <w:sz w:val="24"/>
            <w:szCs w:val="24"/>
          </w:rPr>
          <w:tab/>
        </w:r>
        <w:r>
          <w:rPr>
            <w:rFonts w:ascii="Arial" w:hAnsi="Arial" w:cs="Arial"/>
            <w:sz w:val="24"/>
            <w:szCs w:val="24"/>
          </w:rPr>
          <w:t xml:space="preserve"> </w:t>
        </w:r>
        <w:r w:rsidRPr="003B1158">
          <w:rPr>
            <w:rFonts w:ascii="Arial" w:hAnsi="Arial" w:cs="Arial"/>
            <w:sz w:val="24"/>
            <w:szCs w:val="24"/>
          </w:rPr>
          <w:t xml:space="preserve">       </w:t>
        </w:r>
        <w:r w:rsidRPr="003B1158">
          <w:tab/>
        </w:r>
        <w:r w:rsidRPr="003B1158">
          <w:tab/>
        </w:r>
        <w:r w:rsidR="00CB57B4" w:rsidRPr="003B1158">
          <w:fldChar w:fldCharType="begin"/>
        </w:r>
        <w:r w:rsidR="00CB57B4" w:rsidRPr="003B1158">
          <w:instrText xml:space="preserve"> PAGE   \* MERGEFORMAT </w:instrText>
        </w:r>
        <w:r w:rsidR="00CB57B4" w:rsidRPr="003B1158">
          <w:fldChar w:fldCharType="separate"/>
        </w:r>
        <w:r w:rsidRPr="003B1158">
          <w:rPr>
            <w:noProof/>
          </w:rPr>
          <w:t>2</w:t>
        </w:r>
        <w:r w:rsidR="00CB57B4" w:rsidRPr="003B1158">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F15E7" w:rsidRPr="003B1158" w:rsidRDefault="001A745E">
    <w:pPr>
      <w:pStyle w:val="Header"/>
      <w:rPr>
        <w:rFonts w:ascii="Times New Roman" w:hAnsi="Times New Roman" w:cs="Times New Roman"/>
        <w:sz w:val="24"/>
        <w:szCs w:val="24"/>
      </w:rPr>
    </w:pPr>
    <w:r w:rsidRPr="003B1158">
      <w:rPr>
        <w:rFonts w:ascii="Times New Roman" w:hAnsi="Times New Roman" w:cs="Times New Roman"/>
        <w:sz w:val="24"/>
        <w:szCs w:val="24"/>
      </w:rPr>
      <w:t>RUNNING HEAD:</w:t>
    </w:r>
    <w:r w:rsidR="003B1158" w:rsidRPr="003B1158">
      <w:rPr>
        <w:rFonts w:ascii="Arial" w:hAnsi="Arial" w:cs="Arial"/>
        <w:sz w:val="24"/>
        <w:szCs w:val="24"/>
      </w:rPr>
      <w:t xml:space="preserve"> DEMOGRAPHIC PROFILE OF TEXAS AND ITS PRISONS</w:t>
    </w:r>
    <w:r w:rsidRPr="003B1158">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30151"/>
    <w:multiLevelType w:val="multilevel"/>
    <w:tmpl w:val="6D44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32"/>
    <w:rsid w:val="000150CB"/>
    <w:rsid w:val="00051E16"/>
    <w:rsid w:val="000540F6"/>
    <w:rsid w:val="00096CEE"/>
    <w:rsid w:val="0009703D"/>
    <w:rsid w:val="000B2742"/>
    <w:rsid w:val="000D01E9"/>
    <w:rsid w:val="000E3E75"/>
    <w:rsid w:val="000F0457"/>
    <w:rsid w:val="001056A3"/>
    <w:rsid w:val="00110CC2"/>
    <w:rsid w:val="001305D8"/>
    <w:rsid w:val="00132664"/>
    <w:rsid w:val="0016313D"/>
    <w:rsid w:val="00177988"/>
    <w:rsid w:val="00185BB1"/>
    <w:rsid w:val="001900B7"/>
    <w:rsid w:val="001A440D"/>
    <w:rsid w:val="001A745E"/>
    <w:rsid w:val="002027F3"/>
    <w:rsid w:val="00210749"/>
    <w:rsid w:val="00212DE6"/>
    <w:rsid w:val="002236C4"/>
    <w:rsid w:val="00224217"/>
    <w:rsid w:val="00227C59"/>
    <w:rsid w:val="00231C23"/>
    <w:rsid w:val="0025348D"/>
    <w:rsid w:val="00285C4A"/>
    <w:rsid w:val="0029387A"/>
    <w:rsid w:val="0029451D"/>
    <w:rsid w:val="002A2184"/>
    <w:rsid w:val="002A3BA3"/>
    <w:rsid w:val="002A4120"/>
    <w:rsid w:val="002C0DE0"/>
    <w:rsid w:val="002C6886"/>
    <w:rsid w:val="002E7E5B"/>
    <w:rsid w:val="00322201"/>
    <w:rsid w:val="00341973"/>
    <w:rsid w:val="003A66F2"/>
    <w:rsid w:val="003B1158"/>
    <w:rsid w:val="003B160B"/>
    <w:rsid w:val="003D00F6"/>
    <w:rsid w:val="003D42F0"/>
    <w:rsid w:val="003E6B93"/>
    <w:rsid w:val="00422525"/>
    <w:rsid w:val="00465553"/>
    <w:rsid w:val="004A687B"/>
    <w:rsid w:val="004C4069"/>
    <w:rsid w:val="004F32A9"/>
    <w:rsid w:val="00521356"/>
    <w:rsid w:val="0055246F"/>
    <w:rsid w:val="00570046"/>
    <w:rsid w:val="005818FA"/>
    <w:rsid w:val="005923D3"/>
    <w:rsid w:val="0059286D"/>
    <w:rsid w:val="005A2AC7"/>
    <w:rsid w:val="005B4023"/>
    <w:rsid w:val="005B7C46"/>
    <w:rsid w:val="005C1ADD"/>
    <w:rsid w:val="0061397A"/>
    <w:rsid w:val="00626A17"/>
    <w:rsid w:val="00643ACD"/>
    <w:rsid w:val="0067438D"/>
    <w:rsid w:val="00681248"/>
    <w:rsid w:val="00687966"/>
    <w:rsid w:val="006B6286"/>
    <w:rsid w:val="006E1092"/>
    <w:rsid w:val="0070006A"/>
    <w:rsid w:val="00732AFC"/>
    <w:rsid w:val="007456E9"/>
    <w:rsid w:val="00756462"/>
    <w:rsid w:val="00793EA1"/>
    <w:rsid w:val="00796D27"/>
    <w:rsid w:val="007A4070"/>
    <w:rsid w:val="007C55F1"/>
    <w:rsid w:val="007D2737"/>
    <w:rsid w:val="007D3E5A"/>
    <w:rsid w:val="007E14EE"/>
    <w:rsid w:val="007F15E7"/>
    <w:rsid w:val="007F28D2"/>
    <w:rsid w:val="008156FF"/>
    <w:rsid w:val="00826528"/>
    <w:rsid w:val="00840EBF"/>
    <w:rsid w:val="00866E97"/>
    <w:rsid w:val="00892BC1"/>
    <w:rsid w:val="00894440"/>
    <w:rsid w:val="008B2F18"/>
    <w:rsid w:val="008C0F53"/>
    <w:rsid w:val="008E5B64"/>
    <w:rsid w:val="008F0C4C"/>
    <w:rsid w:val="008F7847"/>
    <w:rsid w:val="00954FE5"/>
    <w:rsid w:val="00962208"/>
    <w:rsid w:val="00973D43"/>
    <w:rsid w:val="00977750"/>
    <w:rsid w:val="009E26D1"/>
    <w:rsid w:val="00A0664C"/>
    <w:rsid w:val="00A10EFD"/>
    <w:rsid w:val="00A13AE3"/>
    <w:rsid w:val="00A557E8"/>
    <w:rsid w:val="00A57791"/>
    <w:rsid w:val="00A6051D"/>
    <w:rsid w:val="00A7674C"/>
    <w:rsid w:val="00A80232"/>
    <w:rsid w:val="00A958E3"/>
    <w:rsid w:val="00A97923"/>
    <w:rsid w:val="00AB2BE2"/>
    <w:rsid w:val="00AD22E8"/>
    <w:rsid w:val="00AF37F3"/>
    <w:rsid w:val="00B15AC0"/>
    <w:rsid w:val="00B16D77"/>
    <w:rsid w:val="00BC01FE"/>
    <w:rsid w:val="00BC4FED"/>
    <w:rsid w:val="00BD7365"/>
    <w:rsid w:val="00C15CC9"/>
    <w:rsid w:val="00C35E49"/>
    <w:rsid w:val="00C47829"/>
    <w:rsid w:val="00C6072A"/>
    <w:rsid w:val="00C60D08"/>
    <w:rsid w:val="00C8449F"/>
    <w:rsid w:val="00C949E2"/>
    <w:rsid w:val="00CB57B4"/>
    <w:rsid w:val="00CC4891"/>
    <w:rsid w:val="00CE20F5"/>
    <w:rsid w:val="00CF7B03"/>
    <w:rsid w:val="00D00988"/>
    <w:rsid w:val="00D1730E"/>
    <w:rsid w:val="00D22DB6"/>
    <w:rsid w:val="00D270A1"/>
    <w:rsid w:val="00D30FBE"/>
    <w:rsid w:val="00D31DE0"/>
    <w:rsid w:val="00D647FC"/>
    <w:rsid w:val="00D66254"/>
    <w:rsid w:val="00D70013"/>
    <w:rsid w:val="00D72FB3"/>
    <w:rsid w:val="00D90ED4"/>
    <w:rsid w:val="00DA3CF6"/>
    <w:rsid w:val="00DA445C"/>
    <w:rsid w:val="00DB4985"/>
    <w:rsid w:val="00DC4C8E"/>
    <w:rsid w:val="00DD7E9B"/>
    <w:rsid w:val="00DE1D6D"/>
    <w:rsid w:val="00DE28BD"/>
    <w:rsid w:val="00DF5863"/>
    <w:rsid w:val="00E16DB2"/>
    <w:rsid w:val="00E46CA4"/>
    <w:rsid w:val="00E606F0"/>
    <w:rsid w:val="00E7076B"/>
    <w:rsid w:val="00E745B8"/>
    <w:rsid w:val="00E97BA7"/>
    <w:rsid w:val="00EE7CCF"/>
    <w:rsid w:val="00EF508E"/>
    <w:rsid w:val="00F16C5E"/>
    <w:rsid w:val="00F26F53"/>
    <w:rsid w:val="00F37D3C"/>
    <w:rsid w:val="00F62DEE"/>
    <w:rsid w:val="00F7324F"/>
    <w:rsid w:val="00FA3FEB"/>
    <w:rsid w:val="00FC664B"/>
    <w:rsid w:val="00FD0D77"/>
    <w:rsid w:val="00FE3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3F307E5-137A-43A6-9C1E-9236A709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1158"/>
    <w:pPr>
      <w:spacing w:after="200" w:line="276" w:lineRule="auto"/>
    </w:pPr>
  </w:style>
  <w:style w:type="paragraph" w:styleId="Heading2">
    <w:name w:val="heading 2"/>
    <w:basedOn w:val="Normal"/>
    <w:next w:val="Normal"/>
    <w:link w:val="Heading2Char"/>
    <w:autoRedefine/>
    <w:uiPriority w:val="9"/>
    <w:unhideWhenUsed/>
    <w:qFormat/>
    <w:rsid w:val="003B1158"/>
    <w:pPr>
      <w:spacing w:before="240" w:after="260" w:line="480" w:lineRule="auto"/>
      <w:ind w:left="720"/>
      <w:jc w:val="center"/>
      <w:textAlignment w:val="baseline"/>
      <w:outlineLvl w:val="1"/>
    </w:pPr>
    <w:rPr>
      <w:rFonts w:ascii="Times New Roman" w:eastAsiaTheme="majorEastAsia" w:hAnsi="Times New Roman" w:cstheme="majorBidi"/>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4440"/>
    <w:rPr>
      <w:color w:val="0000FF"/>
      <w:u w:val="single"/>
    </w:rPr>
  </w:style>
  <w:style w:type="paragraph" w:customStyle="1" w:styleId="dx-doi">
    <w:name w:val="dx-doi"/>
    <w:basedOn w:val="Normal"/>
    <w:rsid w:val="000B27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8E5B64"/>
    <w:rPr>
      <w:color w:val="605E5C"/>
      <w:shd w:val="clear" w:color="auto" w:fill="E1DFDD"/>
    </w:rPr>
  </w:style>
  <w:style w:type="character" w:styleId="Strong">
    <w:name w:val="Strong"/>
    <w:basedOn w:val="DefaultParagraphFont"/>
    <w:uiPriority w:val="22"/>
    <w:qFormat/>
    <w:rsid w:val="00DF5863"/>
    <w:rPr>
      <w:b/>
      <w:bCs/>
    </w:rPr>
  </w:style>
  <w:style w:type="paragraph" w:styleId="Header">
    <w:name w:val="header"/>
    <w:basedOn w:val="Normal"/>
    <w:link w:val="HeaderChar"/>
    <w:uiPriority w:val="99"/>
    <w:unhideWhenUsed/>
    <w:rsid w:val="00954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FE5"/>
  </w:style>
  <w:style w:type="paragraph" w:styleId="Footer">
    <w:name w:val="footer"/>
    <w:basedOn w:val="Normal"/>
    <w:link w:val="FooterChar"/>
    <w:uiPriority w:val="99"/>
    <w:unhideWhenUsed/>
    <w:rsid w:val="00954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FE5"/>
  </w:style>
  <w:style w:type="character" w:customStyle="1" w:styleId="Heading2Char">
    <w:name w:val="Heading 2 Char"/>
    <w:basedOn w:val="DefaultParagraphFont"/>
    <w:link w:val="Heading2"/>
    <w:uiPriority w:val="9"/>
    <w:rsid w:val="003B1158"/>
    <w:rPr>
      <w:rFonts w:ascii="Times New Roman" w:eastAsiaTheme="majorEastAsia" w:hAnsi="Times New Roman" w:cstheme="majorBidi"/>
      <w:b/>
      <w:color w:val="000000"/>
      <w:sz w:val="24"/>
      <w:szCs w:val="24"/>
    </w:rPr>
  </w:style>
  <w:style w:type="paragraph" w:styleId="Caption">
    <w:name w:val="caption"/>
    <w:basedOn w:val="Normal"/>
    <w:next w:val="Normal"/>
    <w:uiPriority w:val="35"/>
    <w:unhideWhenUsed/>
    <w:qFormat/>
    <w:rsid w:val="003B1158"/>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 /><Relationship Id="rId13"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chart" Target="charts/chart1.xml" /><Relationship Id="rId12" Type="http://schemas.openxmlformats.org/officeDocument/2006/relationships/hyperlink" Target="https://doi.org/10.1007/s10940-006-9010-2" TargetMode="Externa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doi.org/10.1007/s40865-015-0021-2" TargetMode="External"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chart" Target="charts/chart4.xml" /><Relationship Id="rId4" Type="http://schemas.openxmlformats.org/officeDocument/2006/relationships/webSettings" Target="webSettings.xml" /><Relationship Id="rId9" Type="http://schemas.openxmlformats.org/officeDocument/2006/relationships/chart" Target="charts/chart3.xml" /><Relationship Id="rId14" Type="http://schemas.openxmlformats.org/officeDocument/2006/relationships/header" Target="header2.xml" /></Relationships>
</file>

<file path=word/charts/_rels/chart1.xml.rels><?xml version="1.0" encoding="UTF-8" standalone="yes"?>
<Relationships xmlns="http://schemas.openxmlformats.org/package/2006/relationships"><Relationship Id="rId3" Type="http://schemas.openxmlformats.org/officeDocument/2006/relationships/oleObject" Target="file:///F:\KM\Texas%20&amp;%20its%20prisons%20demography.xlsx" TargetMode="External" /><Relationship Id="rId2" Type="http://schemas.microsoft.com/office/2011/relationships/chartColorStyle" Target="colors1.xml" /><Relationship Id="rId1" Type="http://schemas.microsoft.com/office/2011/relationships/chartStyle" Target="style1.xml" /></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 /><Relationship Id="rId2" Type="http://schemas.microsoft.com/office/2011/relationships/chartColorStyle" Target="colors2.xml" /><Relationship Id="rId1" Type="http://schemas.microsoft.com/office/2011/relationships/chartStyle" Target="style2.xml" /></Relationships>
</file>

<file path=word/charts/_rels/chart3.xml.rels><?xml version="1.0" encoding="UTF-8" standalone="yes"?>
<Relationships xmlns="http://schemas.openxmlformats.org/package/2006/relationships"><Relationship Id="rId3" Type="http://schemas.openxmlformats.org/officeDocument/2006/relationships/oleObject" Target="file:///F:\KM\Texas%20&amp;%20its%20prisons%20demography.xlsx" TargetMode="External" /><Relationship Id="rId2" Type="http://schemas.microsoft.com/office/2011/relationships/chartColorStyle" Target="colors3.xml" /><Relationship Id="rId1" Type="http://schemas.microsoft.com/office/2011/relationships/chartStyle" Target="style3.xml" /></Relationships>
</file>

<file path=word/charts/_rels/chart4.xml.rels><?xml version="1.0" encoding="UTF-8" standalone="yes"?>
<Relationships xmlns="http://schemas.openxmlformats.org/package/2006/relationships"><Relationship Id="rId3" Type="http://schemas.openxmlformats.org/officeDocument/2006/relationships/oleObject" Target="file:///F:\KM\Texas%20&amp;%20its%20prisons%20demography.xlsx" TargetMode="External" /><Relationship Id="rId2" Type="http://schemas.microsoft.com/office/2011/relationships/chartColorStyle" Target="colors4.xml" /><Relationship Id="rId1" Type="http://schemas.microsoft.com/office/2011/relationships/chartStyle" Target="style4.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Texas race and gender demography</a:t>
            </a:r>
            <a:r>
              <a:rPr lang="en-US" baseline="0"/>
              <a: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Sheet1!$B$15</c:f>
              <c:strCache>
                <c:ptCount val="1"/>
                <c:pt idx="0">
                  <c:v>TEXAS  male (%)</c:v>
                </c:pt>
              </c:strCache>
            </c:strRef>
          </c:tx>
          <c:spPr>
            <a:solidFill>
              <a:schemeClr val="accent1"/>
            </a:solidFill>
            <a:ln>
              <a:noFill/>
            </a:ln>
            <a:effectLst/>
          </c:spPr>
          <c:invertIfNegative val="0"/>
          <c:cat>
            <c:strRef>
              <c:f>Sheet1!$A$16:$A$19</c:f>
              <c:strCache>
                <c:ptCount val="4"/>
                <c:pt idx="0">
                  <c:v>TEXAS white</c:v>
                </c:pt>
                <c:pt idx="1">
                  <c:v>TEXAS black</c:v>
                </c:pt>
                <c:pt idx="2">
                  <c:v>TEXAS hispanic</c:v>
                </c:pt>
                <c:pt idx="3">
                  <c:v>TEXAS other</c:v>
                </c:pt>
              </c:strCache>
            </c:strRef>
          </c:cat>
          <c:val>
            <c:numRef>
              <c:f>Sheet1!$B$16:$B$19</c:f>
              <c:numCache>
                <c:formatCode>0.000</c:formatCode>
                <c:ptCount val="4"/>
                <c:pt idx="0">
                  <c:v>49.588419017068212</c:v>
                </c:pt>
                <c:pt idx="1">
                  <c:v>48.239854290446139</c:v>
                </c:pt>
                <c:pt idx="2">
                  <c:v>50.178013329507905</c:v>
                </c:pt>
                <c:pt idx="3">
                  <c:v>49.107313158358792</c:v>
                </c:pt>
              </c:numCache>
            </c:numRef>
          </c:val>
          <c:extLst>
            <c:ext xmlns:c16="http://schemas.microsoft.com/office/drawing/2014/chart" uri="{C3380CC4-5D6E-409C-BE32-E72D297353CC}">
              <c16:uniqueId val="{00000000-719A-4809-AB27-59FFD800F6EB}"/>
            </c:ext>
          </c:extLst>
        </c:ser>
        <c:ser>
          <c:idx val="1"/>
          <c:order val="1"/>
          <c:tx>
            <c:strRef>
              <c:f>Sheet1!$C$15</c:f>
              <c:strCache>
                <c:ptCount val="1"/>
                <c:pt idx="0">
                  <c:v>TEXAS  female (%)</c:v>
                </c:pt>
              </c:strCache>
            </c:strRef>
          </c:tx>
          <c:spPr>
            <a:solidFill>
              <a:schemeClr val="accent2"/>
            </a:solidFill>
            <a:ln>
              <a:noFill/>
            </a:ln>
            <a:effectLst/>
          </c:spPr>
          <c:invertIfNegative val="0"/>
          <c:cat>
            <c:strRef>
              <c:f>Sheet1!$A$16:$A$19</c:f>
              <c:strCache>
                <c:ptCount val="4"/>
                <c:pt idx="0">
                  <c:v>TEXAS white</c:v>
                </c:pt>
                <c:pt idx="1">
                  <c:v>TEXAS black</c:v>
                </c:pt>
                <c:pt idx="2">
                  <c:v>TEXAS hispanic</c:v>
                </c:pt>
                <c:pt idx="3">
                  <c:v>TEXAS other</c:v>
                </c:pt>
              </c:strCache>
            </c:strRef>
          </c:cat>
          <c:val>
            <c:numRef>
              <c:f>Sheet1!$C$16:$C$19</c:f>
              <c:numCache>
                <c:formatCode>0.000</c:formatCode>
                <c:ptCount val="4"/>
                <c:pt idx="0">
                  <c:v>50.411580982931795</c:v>
                </c:pt>
                <c:pt idx="1">
                  <c:v>51.760145709553861</c:v>
                </c:pt>
                <c:pt idx="2">
                  <c:v>49.821986670492088</c:v>
                </c:pt>
                <c:pt idx="3">
                  <c:v>50.892686841641208</c:v>
                </c:pt>
              </c:numCache>
            </c:numRef>
          </c:val>
          <c:extLst>
            <c:ext xmlns:c16="http://schemas.microsoft.com/office/drawing/2014/chart" uri="{C3380CC4-5D6E-409C-BE32-E72D297353CC}">
              <c16:uniqueId val="{00000001-719A-4809-AB27-59FFD800F6EB}"/>
            </c:ext>
          </c:extLst>
        </c:ser>
        <c:ser>
          <c:idx val="2"/>
          <c:order val="2"/>
          <c:tx>
            <c:strRef>
              <c:f>Sheet1!$D$15</c:f>
              <c:strCache>
                <c:ptCount val="1"/>
                <c:pt idx="0">
                  <c:v>TEXAS  total Texas population (%)</c:v>
                </c:pt>
              </c:strCache>
            </c:strRef>
          </c:tx>
          <c:spPr>
            <a:solidFill>
              <a:schemeClr val="accent3"/>
            </a:solidFill>
            <a:ln>
              <a:noFill/>
            </a:ln>
            <a:effectLst/>
          </c:spPr>
          <c:invertIfNegative val="0"/>
          <c:cat>
            <c:strRef>
              <c:f>Sheet1!$A$16:$A$19</c:f>
              <c:strCache>
                <c:ptCount val="4"/>
                <c:pt idx="0">
                  <c:v>TEXAS white</c:v>
                </c:pt>
                <c:pt idx="1">
                  <c:v>TEXAS black</c:v>
                </c:pt>
                <c:pt idx="2">
                  <c:v>TEXAS hispanic</c:v>
                </c:pt>
                <c:pt idx="3">
                  <c:v>TEXAS other</c:v>
                </c:pt>
              </c:strCache>
            </c:strRef>
          </c:cat>
          <c:val>
            <c:numRef>
              <c:f>Sheet1!$D$16:$D$19</c:f>
              <c:numCache>
                <c:formatCode>0.000</c:formatCode>
                <c:ptCount val="4"/>
                <c:pt idx="0">
                  <c:v>42.609433956042189</c:v>
                </c:pt>
                <c:pt idx="1">
                  <c:v>11.862379947948279</c:v>
                </c:pt>
                <c:pt idx="2">
                  <c:v>38.612620473589907</c:v>
                </c:pt>
                <c:pt idx="3">
                  <c:v>6.915565622419634</c:v>
                </c:pt>
              </c:numCache>
            </c:numRef>
          </c:val>
          <c:extLst>
            <c:ext xmlns:c16="http://schemas.microsoft.com/office/drawing/2014/chart" uri="{C3380CC4-5D6E-409C-BE32-E72D297353CC}">
              <c16:uniqueId val="{00000002-719A-4809-AB27-59FFD800F6EB}"/>
            </c:ext>
          </c:extLst>
        </c:ser>
        <c:dLbls>
          <c:showLegendKey val="0"/>
          <c:showVal val="0"/>
          <c:showCatName val="0"/>
          <c:showSerName val="0"/>
          <c:showPercent val="0"/>
          <c:showBubbleSize val="0"/>
        </c:dLbls>
        <c:gapWidth val="219"/>
        <c:overlap val="-27"/>
        <c:axId val="1640617071"/>
        <c:axId val="1467391583"/>
        <c:extLst>
          <c:ext xmlns:c15="http://schemas.microsoft.com/office/drawing/2012/chart" uri="{02D57815-91ED-43cb-92C2-25804820EDAC}">
            <c15:filteredBarSeries>
              <c15:ser>
                <c:idx val="3"/>
                <c:order val="3"/>
                <c:tx>
                  <c:strRef>
                    <c:extLst>
                      <c:ext uri="{02D57815-91ED-43cb-92C2-25804820EDAC}">
                        <c15:formulaRef>
                          <c15:sqref>Sheet1!$E$15</c15:sqref>
                        </c15:formulaRef>
                      </c:ext>
                    </c:extLst>
                    <c:strCache>
                      <c:ptCount val="1"/>
                    </c:strCache>
                  </c:strRef>
                </c:tx>
                <c:spPr>
                  <a:solidFill>
                    <a:schemeClr val="accent4"/>
                  </a:solidFill>
                  <a:ln>
                    <a:noFill/>
                  </a:ln>
                  <a:effectLst/>
                </c:spPr>
                <c:invertIfNegative val="0"/>
                <c:cat>
                  <c:strRef>
                    <c:extLst>
                      <c:ex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c:ext uri="{02D57815-91ED-43cb-92C2-25804820EDAC}">
                        <c15:formulaRef>
                          <c15:sqref>Sheet1!$E$16:$E$19</c15:sqref>
                        </c15:formulaRef>
                      </c:ext>
                    </c:extLst>
                    <c:numCache>
                      <c:formatCode>General</c:formatCode>
                      <c:ptCount val="4"/>
                    </c:numCache>
                  </c:numRef>
                </c:val>
                <c:extLst>
                  <c:ext xmlns:c16="http://schemas.microsoft.com/office/drawing/2014/chart" uri="{C3380CC4-5D6E-409C-BE32-E72D297353CC}">
                    <c16:uniqueId val="{00000003-719A-4809-AB27-59FFD800F6EB}"/>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Sheet1!$F$17</c15:sqref>
                        </c15:formulaRef>
                      </c:ext>
                    </c:extLst>
                    <c:strCache>
                      <c:ptCount val="1"/>
                    </c:strCache>
                  </c:strRef>
                </c:tx>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Sheet1!$F$18:$F$23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4-719A-4809-AB27-59FFD800F6EB}"/>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Sheet1!$G$17</c15:sqref>
                        </c15:formulaRef>
                      </c:ext>
                    </c:extLst>
                    <c:strCache>
                      <c:ptCount val="1"/>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Sheet1!$G$18:$G$23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5-719A-4809-AB27-59FFD800F6EB}"/>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Sheet1!$H$17</c15:sqref>
                        </c15:formulaRef>
                      </c:ext>
                    </c:extLst>
                    <c:strCache>
                      <c:ptCount val="1"/>
                    </c:strCache>
                  </c:strRef>
                </c:tx>
                <c:spPr>
                  <a:solidFill>
                    <a:schemeClr val="accent1">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Sheet1!$H$18:$H$23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6-719A-4809-AB27-59FFD800F6EB}"/>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Sheet1!$I$17</c15:sqref>
                        </c15:formulaRef>
                      </c:ext>
                    </c:extLst>
                    <c:strCache>
                      <c:ptCount val="1"/>
                    </c:strCache>
                  </c:strRef>
                </c:tx>
                <c:spPr>
                  <a:solidFill>
                    <a:schemeClr val="accent2">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Sheet1!$I$18:$I$23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7-719A-4809-AB27-59FFD800F6EB}"/>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Sheet1!$J$17</c15:sqref>
                        </c15:formulaRef>
                      </c:ext>
                    </c:extLst>
                    <c:strCache>
                      <c:ptCount val="1"/>
                    </c:strCache>
                  </c:strRef>
                </c:tx>
                <c:spPr>
                  <a:solidFill>
                    <a:schemeClr val="accent3">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Sheet1!$J$18:$J$23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8-719A-4809-AB27-59FFD800F6EB}"/>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Sheet1!$K$17</c15:sqref>
                        </c15:formulaRef>
                      </c:ext>
                    </c:extLst>
                    <c:strCache>
                      <c:ptCount val="1"/>
                    </c:strCache>
                  </c:strRef>
                </c:tx>
                <c:spPr>
                  <a:solidFill>
                    <a:schemeClr val="accent4">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Sheet1!$K$18:$K$23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9-719A-4809-AB27-59FFD800F6EB}"/>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Sheet1!$L$17</c15:sqref>
                        </c15:formulaRef>
                      </c:ext>
                    </c:extLst>
                    <c:strCache>
                      <c:ptCount val="1"/>
                    </c:strCache>
                  </c:strRef>
                </c:tx>
                <c:spPr>
                  <a:solidFill>
                    <a:schemeClr val="accent5">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Sheet1!$L$18:$L$23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A-719A-4809-AB27-59FFD800F6EB}"/>
                  </c:ext>
                </c:extLst>
              </c15:ser>
            </c15:filteredBarSeries>
            <c15:filteredBarSeries>
              <c15:ser>
                <c:idx val="11"/>
                <c:order val="11"/>
                <c:tx>
                  <c:strRef>
                    <c:extLst xmlns:c15="http://schemas.microsoft.com/office/drawing/2012/chart">
                      <c:ext xmlns:c15="http://schemas.microsoft.com/office/drawing/2012/chart" uri="{02D57815-91ED-43cb-92C2-25804820EDAC}">
                        <c15:formulaRef>
                          <c15:sqref>Sheet1!$M$17</c15:sqref>
                        </c15:formulaRef>
                      </c:ext>
                    </c:extLst>
                    <c:strCache>
                      <c:ptCount val="1"/>
                    </c:strCache>
                  </c:strRef>
                </c:tx>
                <c:spPr>
                  <a:solidFill>
                    <a:schemeClr val="accent6">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Sheet1!$M$18:$M$23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B-719A-4809-AB27-59FFD800F6EB}"/>
                  </c:ext>
                </c:extLst>
              </c15:ser>
            </c15:filteredBarSeries>
            <c15:filteredBarSeries>
              <c15:ser>
                <c:idx val="12"/>
                <c:order val="12"/>
                <c:tx>
                  <c:strRef>
                    <c:extLst xmlns:c15="http://schemas.microsoft.com/office/drawing/2012/chart">
                      <c:ext xmlns:c15="http://schemas.microsoft.com/office/drawing/2012/chart" uri="{02D57815-91ED-43cb-92C2-25804820EDAC}">
                        <c15:formulaRef>
                          <c15:sqref>Sheet1!$N$17</c15:sqref>
                        </c15:formulaRef>
                      </c:ext>
                    </c:extLst>
                    <c:strCache>
                      <c:ptCount val="1"/>
                    </c:strCache>
                  </c:strRef>
                </c:tx>
                <c:spPr>
                  <a:solidFill>
                    <a:schemeClr val="accent1">
                      <a:lumMod val="80000"/>
                      <a:lumOff val="2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Sheet1!$N$18:$N$23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C-719A-4809-AB27-59FFD800F6EB}"/>
                  </c:ext>
                </c:extLst>
              </c15:ser>
            </c15:filteredBarSeries>
            <c15:filteredBarSeries>
              <c15:ser>
                <c:idx val="13"/>
                <c:order val="13"/>
                <c:tx>
                  <c:strRef>
                    <c:extLst xmlns:c15="http://schemas.microsoft.com/office/drawing/2012/chart">
                      <c:ext xmlns:c15="http://schemas.microsoft.com/office/drawing/2012/chart" uri="{02D57815-91ED-43cb-92C2-25804820EDAC}">
                        <c15:formulaRef>
                          <c15:sqref>Sheet1!$O$17</c15:sqref>
                        </c15:formulaRef>
                      </c:ext>
                    </c:extLst>
                    <c:strCache>
                      <c:ptCount val="1"/>
                    </c:strCache>
                  </c:strRef>
                </c:tx>
                <c:spPr>
                  <a:solidFill>
                    <a:schemeClr val="accent2">
                      <a:lumMod val="80000"/>
                      <a:lumOff val="2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Sheet1!$O$18:$O$23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D-719A-4809-AB27-59FFD800F6EB}"/>
                  </c:ext>
                </c:extLst>
              </c15:ser>
            </c15:filteredBarSeries>
            <c15:filteredBarSeries>
              <c15:ser>
                <c:idx val="14"/>
                <c:order val="14"/>
                <c:tx>
                  <c:strRef>
                    <c:extLst xmlns:c15="http://schemas.microsoft.com/office/drawing/2012/chart">
                      <c:ext xmlns:c15="http://schemas.microsoft.com/office/drawing/2012/chart" uri="{02D57815-91ED-43cb-92C2-25804820EDAC}">
                        <c15:formulaRef>
                          <c15:sqref>Sheet1!$P$17</c15:sqref>
                        </c15:formulaRef>
                      </c:ext>
                    </c:extLst>
                    <c:strCache>
                      <c:ptCount val="1"/>
                    </c:strCache>
                  </c:strRef>
                </c:tx>
                <c:spPr>
                  <a:solidFill>
                    <a:schemeClr val="accent3">
                      <a:lumMod val="80000"/>
                      <a:lumOff val="2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Sheet1!$P$18:$P$23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E-719A-4809-AB27-59FFD800F6EB}"/>
                  </c:ext>
                </c:extLst>
              </c15:ser>
            </c15:filteredBarSeries>
            <c15:filteredBarSeries>
              <c15:ser>
                <c:idx val="15"/>
                <c:order val="15"/>
                <c:tx>
                  <c:strRef>
                    <c:extLst xmlns:c15="http://schemas.microsoft.com/office/drawing/2012/chart">
                      <c:ext xmlns:c15="http://schemas.microsoft.com/office/drawing/2012/chart" uri="{02D57815-91ED-43cb-92C2-25804820EDAC}">
                        <c15:formulaRef>
                          <c15:sqref>Sheet1!$Q$17</c15:sqref>
                        </c15:formulaRef>
                      </c:ext>
                    </c:extLst>
                    <c:strCache>
                      <c:ptCount val="1"/>
                    </c:strCache>
                  </c:strRef>
                </c:tx>
                <c:spPr>
                  <a:solidFill>
                    <a:schemeClr val="accent4">
                      <a:lumMod val="80000"/>
                      <a:lumOff val="2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Sheet1!$Q$18:$Q$23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F-719A-4809-AB27-59FFD800F6EB}"/>
                  </c:ext>
                </c:extLst>
              </c15:ser>
            </c15:filteredBarSeries>
            <c15:filteredBarSeries>
              <c15:ser>
                <c:idx val="16"/>
                <c:order val="16"/>
                <c:tx>
                  <c:strRef>
                    <c:extLst xmlns:c15="http://schemas.microsoft.com/office/drawing/2012/chart">
                      <c:ext xmlns:c15="http://schemas.microsoft.com/office/drawing/2012/chart" uri="{02D57815-91ED-43cb-92C2-25804820EDAC}">
                        <c15:formulaRef>
                          <c15:sqref>Sheet1!$R$17</c15:sqref>
                        </c15:formulaRef>
                      </c:ext>
                    </c:extLst>
                    <c:strCache>
                      <c:ptCount val="1"/>
                    </c:strCache>
                  </c:strRef>
                </c:tx>
                <c:spPr>
                  <a:solidFill>
                    <a:schemeClr val="accent5">
                      <a:lumMod val="80000"/>
                      <a:lumOff val="2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Sheet1!$R$18:$R$23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10-719A-4809-AB27-59FFD800F6EB}"/>
                  </c:ext>
                </c:extLst>
              </c15:ser>
            </c15:filteredBarSeries>
            <c15:filteredBarSeries>
              <c15:ser>
                <c:idx val="17"/>
                <c:order val="17"/>
                <c:tx>
                  <c:strRef>
                    <c:extLst xmlns:c15="http://schemas.microsoft.com/office/drawing/2012/chart">
                      <c:ext xmlns:c15="http://schemas.microsoft.com/office/drawing/2012/chart" uri="{02D57815-91ED-43cb-92C2-25804820EDAC}">
                        <c15:formulaRef>
                          <c15:sqref>Sheet1!$S$17</c15:sqref>
                        </c15:formulaRef>
                      </c:ext>
                    </c:extLst>
                    <c:strCache>
                      <c:ptCount val="1"/>
                    </c:strCache>
                  </c:strRef>
                </c:tx>
                <c:spPr>
                  <a:solidFill>
                    <a:schemeClr val="accent6">
                      <a:lumMod val="80000"/>
                      <a:lumOff val="2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Sheet1!$S$18:$S$23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11-719A-4809-AB27-59FFD800F6EB}"/>
                  </c:ext>
                </c:extLst>
              </c15:ser>
            </c15:filteredBarSeries>
            <c15:filteredBarSeries>
              <c15:ser>
                <c:idx val="18"/>
                <c:order val="18"/>
                <c:tx>
                  <c:strRef>
                    <c:extLst xmlns:c15="http://schemas.microsoft.com/office/drawing/2012/chart">
                      <c:ext xmlns:c15="http://schemas.microsoft.com/office/drawing/2012/chart" uri="{02D57815-91ED-43cb-92C2-25804820EDAC}">
                        <c15:formulaRef>
                          <c15:sqref>Sheet1!$T$17</c15:sqref>
                        </c15:formulaRef>
                      </c:ext>
                    </c:extLst>
                    <c:strCache>
                      <c:ptCount val="1"/>
                    </c:strCache>
                  </c:strRef>
                </c:tx>
                <c:spPr>
                  <a:solidFill>
                    <a:schemeClr val="accent1">
                      <a:lumMod val="8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Sheet1!$T$18:$T$23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12-719A-4809-AB27-59FFD800F6EB}"/>
                  </c:ext>
                </c:extLst>
              </c15:ser>
            </c15:filteredBarSeries>
            <c15:filteredBarSeries>
              <c15:ser>
                <c:idx val="19"/>
                <c:order val="19"/>
                <c:tx>
                  <c:strRef>
                    <c:extLst xmlns:c15="http://schemas.microsoft.com/office/drawing/2012/chart">
                      <c:ext xmlns:c15="http://schemas.microsoft.com/office/drawing/2012/chart" uri="{02D57815-91ED-43cb-92C2-25804820EDAC}">
                        <c15:formulaRef>
                          <c15:sqref>Sheet1!$U$17</c15:sqref>
                        </c15:formulaRef>
                      </c:ext>
                    </c:extLst>
                    <c:strCache>
                      <c:ptCount val="1"/>
                    </c:strCache>
                  </c:strRef>
                </c:tx>
                <c:spPr>
                  <a:solidFill>
                    <a:schemeClr val="accent2">
                      <a:lumMod val="8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Sheet1!$A$16:$A$19</c15:sqref>
                        </c15:formulaRef>
                      </c:ext>
                    </c:extLst>
                    <c:strCache>
                      <c:ptCount val="4"/>
                      <c:pt idx="0">
                        <c:v>TEXAS white</c:v>
                      </c:pt>
                      <c:pt idx="1">
                        <c:v>TEXAS black</c:v>
                      </c:pt>
                      <c:pt idx="2">
                        <c:v>TEXAS hispanic</c:v>
                      </c:pt>
                      <c:pt idx="3">
                        <c:v>TEXAS other</c:v>
                      </c:pt>
                    </c:strCache>
                  </c:strRef>
                </c:cat>
                <c:val>
                  <c:numRef>
                    <c:extLst xmlns:c15="http://schemas.microsoft.com/office/drawing/2012/chart">
                      <c:ext xmlns:c15="http://schemas.microsoft.com/office/drawing/2012/chart" uri="{02D57815-91ED-43cb-92C2-25804820EDAC}">
                        <c15:formulaRef>
                          <c15:sqref>Sheet1!$U$18:$U$23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13-719A-4809-AB27-59FFD800F6EB}"/>
                  </c:ext>
                </c:extLst>
              </c15:ser>
            </c15:filteredBarSeries>
          </c:ext>
        </c:extLst>
      </c:barChart>
      <c:catAx>
        <c:axId val="1640617071"/>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7391583"/>
        <c:crosses val="autoZero"/>
        <c:auto val="1"/>
        <c:lblAlgn val="ctr"/>
        <c:lblOffset val="100"/>
        <c:noMultiLvlLbl val="0"/>
      </c:catAx>
      <c:valAx>
        <c:axId val="1467391583"/>
        <c:scaling>
          <c:orientation val="minMax"/>
        </c:scaling>
        <c:delete val="0"/>
        <c:axPos val="l"/>
        <c:majorGridlines>
          <c:spPr>
            <a:ln w="9525">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06170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buClrTx/>
              <a:buSzTx/>
              <a:buFontTx/>
              <a:buNone/>
              <a:defRPr sz="1400" b="0" i="0" u="none" strike="noStrike" kern="1200" spc="0" baseline="0">
                <a:solidFill>
                  <a:sysClr val="windowText" lastClr="000000">
                    <a:lumMod val="65000"/>
                    <a:lumOff val="35000"/>
                  </a:sysClr>
                </a:solidFill>
                <a:latin typeface="+mn-lt"/>
                <a:ea typeface="+mn-ea"/>
                <a:cs typeface="+mn-cs"/>
              </a:defRPr>
            </a:pPr>
            <a:r>
              <a:rPr lang="en-US" sz="1800" b="0" i="0" baseline="0">
                <a:effectLst/>
              </a:rPr>
              <a:t>Texas prisons race and gender demography </a:t>
            </a:r>
            <a:endParaRPr lang="en-US">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buClrTx/>
            <a:buSzTx/>
            <a:buFontTx/>
            <a:buNone/>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Sheet1!$B$28</c:f>
              <c:strCache>
                <c:ptCount val="1"/>
                <c:pt idx="0">
                  <c:v>PRISON  male (%)</c:v>
                </c:pt>
              </c:strCache>
            </c:strRef>
          </c:tx>
          <c:spPr>
            <a:solidFill>
              <a:schemeClr val="accent1"/>
            </a:solidFill>
            <a:ln>
              <a:noFill/>
            </a:ln>
            <a:effectLst/>
          </c:spPr>
          <c:invertIfNegative val="0"/>
          <c:cat>
            <c:strRef>
              <c:f>Sheet1!$A$29:$A$32</c:f>
              <c:strCache>
                <c:ptCount val="4"/>
                <c:pt idx="0">
                  <c:v>prision white</c:v>
                </c:pt>
                <c:pt idx="1">
                  <c:v>prision black</c:v>
                </c:pt>
                <c:pt idx="2">
                  <c:v>prision hispanic</c:v>
                </c:pt>
                <c:pt idx="3">
                  <c:v>prision other</c:v>
                </c:pt>
              </c:strCache>
            </c:strRef>
          </c:cat>
          <c:val>
            <c:numRef>
              <c:f>Sheet1!$B$29:$B$32</c:f>
              <c:numCache>
                <c:formatCode>0.000</c:formatCode>
                <c:ptCount val="4"/>
                <c:pt idx="0">
                  <c:v>75.849041107141389</c:v>
                </c:pt>
                <c:pt idx="1">
                  <c:v>87.908651009087691</c:v>
                </c:pt>
                <c:pt idx="2">
                  <c:v>87.827866901509026</c:v>
                </c:pt>
                <c:pt idx="3">
                  <c:v>86.750788643533127</c:v>
                </c:pt>
              </c:numCache>
            </c:numRef>
          </c:val>
          <c:extLst>
            <c:ext xmlns:c16="http://schemas.microsoft.com/office/drawing/2014/chart" uri="{C3380CC4-5D6E-409C-BE32-E72D297353CC}">
              <c16:uniqueId val="{00000000-A802-4F78-B4C9-819CE9F9672A}"/>
            </c:ext>
          </c:extLst>
        </c:ser>
        <c:ser>
          <c:idx val="1"/>
          <c:order val="1"/>
          <c:tx>
            <c:strRef>
              <c:f>Sheet1!$C$28</c:f>
              <c:strCache>
                <c:ptCount val="1"/>
                <c:pt idx="0">
                  <c:v>PRISON  female (%)</c:v>
                </c:pt>
              </c:strCache>
            </c:strRef>
          </c:tx>
          <c:spPr>
            <a:solidFill>
              <a:schemeClr val="accent2"/>
            </a:solidFill>
            <a:ln>
              <a:noFill/>
            </a:ln>
            <a:effectLst/>
          </c:spPr>
          <c:invertIfNegative val="0"/>
          <c:cat>
            <c:strRef>
              <c:f>Sheet1!$A$29:$A$32</c:f>
              <c:strCache>
                <c:ptCount val="4"/>
                <c:pt idx="0">
                  <c:v>prision white</c:v>
                </c:pt>
                <c:pt idx="1">
                  <c:v>prision black</c:v>
                </c:pt>
                <c:pt idx="2">
                  <c:v>prision hispanic</c:v>
                </c:pt>
                <c:pt idx="3">
                  <c:v>prision other</c:v>
                </c:pt>
              </c:strCache>
            </c:strRef>
          </c:cat>
          <c:val>
            <c:numRef>
              <c:f>Sheet1!$C$29:$C$32</c:f>
              <c:numCache>
                <c:formatCode>0.000</c:formatCode>
                <c:ptCount val="4"/>
                <c:pt idx="0">
                  <c:v>24.150958892858611</c:v>
                </c:pt>
                <c:pt idx="1">
                  <c:v>12.091348990912309</c:v>
                </c:pt>
                <c:pt idx="2">
                  <c:v>12.172133098490979</c:v>
                </c:pt>
                <c:pt idx="3">
                  <c:v>13.249211356466878</c:v>
                </c:pt>
              </c:numCache>
            </c:numRef>
          </c:val>
          <c:extLst>
            <c:ext xmlns:c16="http://schemas.microsoft.com/office/drawing/2014/chart" uri="{C3380CC4-5D6E-409C-BE32-E72D297353CC}">
              <c16:uniqueId val="{00000001-A802-4F78-B4C9-819CE9F9672A}"/>
            </c:ext>
          </c:extLst>
        </c:ser>
        <c:ser>
          <c:idx val="2"/>
          <c:order val="2"/>
          <c:tx>
            <c:strRef>
              <c:f>Sheet1!$D$28</c:f>
              <c:strCache>
                <c:ptCount val="1"/>
                <c:pt idx="0">
                  <c:v>PRISON  total prison population (%)</c:v>
                </c:pt>
              </c:strCache>
            </c:strRef>
          </c:tx>
          <c:spPr>
            <a:solidFill>
              <a:schemeClr val="accent3"/>
            </a:solidFill>
            <a:ln>
              <a:noFill/>
            </a:ln>
            <a:effectLst/>
          </c:spPr>
          <c:invertIfNegative val="0"/>
          <c:cat>
            <c:strRef>
              <c:f>Sheet1!$A$29:$A$32</c:f>
              <c:strCache>
                <c:ptCount val="4"/>
                <c:pt idx="0">
                  <c:v>prision white</c:v>
                </c:pt>
                <c:pt idx="1">
                  <c:v>prision black</c:v>
                </c:pt>
                <c:pt idx="2">
                  <c:v>prision hispanic</c:v>
                </c:pt>
                <c:pt idx="3">
                  <c:v>prision other</c:v>
                </c:pt>
              </c:strCache>
            </c:strRef>
          </c:cat>
          <c:val>
            <c:numRef>
              <c:f>Sheet1!$D$29:$D$32</c:f>
              <c:numCache>
                <c:formatCode>0.000</c:formatCode>
                <c:ptCount val="4"/>
                <c:pt idx="0">
                  <c:v>38.886316092045796</c:v>
                </c:pt>
                <c:pt idx="1">
                  <c:v>27.061209498411078</c:v>
                </c:pt>
                <c:pt idx="2">
                  <c:v>33.546254451382126</c:v>
                </c:pt>
                <c:pt idx="3">
                  <c:v>0.50621995816100029</c:v>
                </c:pt>
              </c:numCache>
            </c:numRef>
          </c:val>
          <c:extLst>
            <c:ext xmlns:c16="http://schemas.microsoft.com/office/drawing/2014/chart" uri="{C3380CC4-5D6E-409C-BE32-E72D297353CC}">
              <c16:uniqueId val="{00000002-A802-4F78-B4C9-819CE9F9672A}"/>
            </c:ext>
          </c:extLst>
        </c:ser>
        <c:dLbls>
          <c:showLegendKey val="0"/>
          <c:showVal val="0"/>
          <c:showCatName val="0"/>
          <c:showSerName val="0"/>
          <c:showPercent val="0"/>
          <c:showBubbleSize val="0"/>
        </c:dLbls>
        <c:gapWidth val="219"/>
        <c:overlap val="-27"/>
        <c:axId val="1642296031"/>
        <c:axId val="1504916063"/>
      </c:barChart>
      <c:catAx>
        <c:axId val="1642296031"/>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4916063"/>
        <c:crosses val="autoZero"/>
        <c:auto val="1"/>
        <c:lblAlgn val="ctr"/>
        <c:lblOffset val="100"/>
        <c:noMultiLvlLbl val="0"/>
      </c:catAx>
      <c:valAx>
        <c:axId val="1504916063"/>
        <c:scaling>
          <c:orientation val="minMax"/>
        </c:scaling>
        <c:delete val="0"/>
        <c:axPos val="l"/>
        <c:majorGridlines>
          <c:spPr>
            <a:ln w="9525">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22960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gender </a:t>
            </a:r>
            <a:r>
              <a:rPr lang="en-US" sz="1400" b="0" i="0" u="none" strike="noStrike" baseline="0">
                <a:effectLst/>
              </a:rPr>
              <a:t>distribution</a:t>
            </a:r>
            <a:r>
              <a:rPr lang="en-US" baseline="0"/>
              <a: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Sheet1!$A$22</c:f>
              <c:strCache>
                <c:ptCount val="1"/>
                <c:pt idx="0">
                  <c:v>TEXAS </c:v>
                </c:pt>
              </c:strCache>
            </c:strRef>
          </c:tx>
          <c:spPr>
            <a:solidFill>
              <a:schemeClr val="accent1"/>
            </a:solidFill>
            <a:ln>
              <a:noFill/>
            </a:ln>
            <a:effectLst/>
          </c:spPr>
          <c:invertIfNegative val="0"/>
          <c:cat>
            <c:strRef>
              <c:f>Sheet1!$B$21:$C$21</c:f>
              <c:strCache>
                <c:ptCount val="2"/>
                <c:pt idx="0">
                  <c:v>male</c:v>
                </c:pt>
                <c:pt idx="1">
                  <c:v>female</c:v>
                </c:pt>
              </c:strCache>
            </c:strRef>
          </c:cat>
          <c:val>
            <c:numRef>
              <c:f>Sheet1!$B$22:$C$22</c:f>
              <c:numCache>
                <c:formatCode>0.000</c:formatCode>
                <c:ptCount val="2"/>
                <c:pt idx="0">
                  <c:v>49.62283376817615</c:v>
                </c:pt>
                <c:pt idx="1">
                  <c:v>50.377166231823843</c:v>
                </c:pt>
              </c:numCache>
            </c:numRef>
          </c:val>
          <c:extLst>
            <c:ext xmlns:c16="http://schemas.microsoft.com/office/drawing/2014/chart" uri="{C3380CC4-5D6E-409C-BE32-E72D297353CC}">
              <c16:uniqueId val="{00000000-C8DB-4F09-9260-7898613E98E4}"/>
            </c:ext>
          </c:extLst>
        </c:ser>
        <c:ser>
          <c:idx val="1"/>
          <c:order val="1"/>
          <c:tx>
            <c:strRef>
              <c:f>Sheet1!$A$23</c:f>
              <c:strCache>
                <c:ptCount val="1"/>
                <c:pt idx="0">
                  <c:v>PRISON </c:v>
                </c:pt>
              </c:strCache>
            </c:strRef>
          </c:tx>
          <c:spPr>
            <a:solidFill>
              <a:schemeClr val="accent2"/>
            </a:solidFill>
            <a:ln>
              <a:noFill/>
            </a:ln>
            <a:effectLst/>
          </c:spPr>
          <c:invertIfNegative val="0"/>
          <c:cat>
            <c:strRef>
              <c:f>Sheet1!$B$21:$C$21</c:f>
              <c:strCache>
                <c:ptCount val="2"/>
                <c:pt idx="0">
                  <c:v>male</c:v>
                </c:pt>
                <c:pt idx="1">
                  <c:v>female</c:v>
                </c:pt>
              </c:strCache>
            </c:strRef>
          </c:cat>
          <c:val>
            <c:numRef>
              <c:f>Sheet1!$B$23:$C$23</c:f>
              <c:numCache>
                <c:formatCode>0.000</c:formatCode>
                <c:ptCount val="2"/>
                <c:pt idx="0">
                  <c:v>83.186151610482113</c:v>
                </c:pt>
                <c:pt idx="1">
                  <c:v>16.813848389517894</c:v>
                </c:pt>
              </c:numCache>
            </c:numRef>
          </c:val>
          <c:extLst>
            <c:ext xmlns:c16="http://schemas.microsoft.com/office/drawing/2014/chart" uri="{C3380CC4-5D6E-409C-BE32-E72D297353CC}">
              <c16:uniqueId val="{00000001-C8DB-4F09-9260-7898613E98E4}"/>
            </c:ext>
          </c:extLst>
        </c:ser>
        <c:dLbls>
          <c:showLegendKey val="0"/>
          <c:showVal val="0"/>
          <c:showCatName val="0"/>
          <c:showSerName val="0"/>
          <c:showPercent val="0"/>
          <c:showBubbleSize val="0"/>
        </c:dLbls>
        <c:gapWidth val="219"/>
        <c:overlap val="-27"/>
        <c:axId val="1739051871"/>
        <c:axId val="1638263695"/>
      </c:barChart>
      <c:catAx>
        <c:axId val="1739051871"/>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8263695"/>
        <c:crosses val="autoZero"/>
        <c:auto val="1"/>
        <c:lblAlgn val="ctr"/>
        <c:lblOffset val="100"/>
        <c:noMultiLvlLbl val="0"/>
      </c:catAx>
      <c:valAx>
        <c:axId val="1638263695"/>
        <c:scaling>
          <c:orientation val="minMax"/>
        </c:scaling>
        <c:delete val="0"/>
        <c:axPos val="l"/>
        <c:majorGridlines>
          <c:spPr>
            <a:ln w="9525">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90518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Texas &amp; its prisons demography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Sheet1!$B$34</c:f>
              <c:strCache>
                <c:ptCount val="1"/>
                <c:pt idx="0">
                  <c:v>POPULATION IN TEXAS (%)</c:v>
                </c:pt>
              </c:strCache>
            </c:strRef>
          </c:tx>
          <c:spPr>
            <a:solidFill>
              <a:schemeClr val="accent1">
                <a:alpha val="85000"/>
              </a:schemeClr>
            </a:solidFill>
            <a:ln w="9525">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Sheet1!$A$35:$A$38</c:f>
              <c:strCache>
                <c:ptCount val="4"/>
                <c:pt idx="0">
                  <c:v>white</c:v>
                </c:pt>
                <c:pt idx="1">
                  <c:v>black</c:v>
                </c:pt>
                <c:pt idx="2">
                  <c:v>hispanic</c:v>
                </c:pt>
                <c:pt idx="3">
                  <c:v>other</c:v>
                </c:pt>
              </c:strCache>
            </c:strRef>
          </c:cat>
          <c:val>
            <c:numRef>
              <c:f>Sheet1!$B$35:$B$38</c:f>
              <c:numCache>
                <c:formatCode>0.000</c:formatCode>
                <c:ptCount val="4"/>
                <c:pt idx="0">
                  <c:v>42.609433956042189</c:v>
                </c:pt>
                <c:pt idx="1">
                  <c:v>11.862379947948279</c:v>
                </c:pt>
                <c:pt idx="2">
                  <c:v>38.612620473589907</c:v>
                </c:pt>
                <c:pt idx="3">
                  <c:v>6.915565622419634</c:v>
                </c:pt>
              </c:numCache>
            </c:numRef>
          </c:val>
          <c:extLst>
            <c:ext xmlns:c16="http://schemas.microsoft.com/office/drawing/2014/chart" uri="{C3380CC4-5D6E-409C-BE32-E72D297353CC}">
              <c16:uniqueId val="{00000000-00B2-4ECC-8575-17FC4F28082C}"/>
            </c:ext>
          </c:extLst>
        </c:ser>
        <c:ser>
          <c:idx val="1"/>
          <c:order val="1"/>
          <c:tx>
            <c:strRef>
              <c:f>Sheet1!$C$34</c:f>
              <c:strCache>
                <c:ptCount val="1"/>
                <c:pt idx="0">
                  <c:v>POPULATION IN PRISON (%)</c:v>
                </c:pt>
              </c:strCache>
            </c:strRef>
          </c:tx>
          <c:spPr>
            <a:solidFill>
              <a:schemeClr val="accent2">
                <a:alpha val="85000"/>
              </a:schemeClr>
            </a:solidFill>
            <a:ln w="9525">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Sheet1!$A$35:$A$38</c:f>
              <c:strCache>
                <c:ptCount val="4"/>
                <c:pt idx="0">
                  <c:v>white</c:v>
                </c:pt>
                <c:pt idx="1">
                  <c:v>black</c:v>
                </c:pt>
                <c:pt idx="2">
                  <c:v>hispanic</c:v>
                </c:pt>
                <c:pt idx="3">
                  <c:v>other</c:v>
                </c:pt>
              </c:strCache>
            </c:strRef>
          </c:cat>
          <c:val>
            <c:numRef>
              <c:f>Sheet1!$C$35:$C$38</c:f>
              <c:numCache>
                <c:formatCode>0.000</c:formatCode>
                <c:ptCount val="4"/>
                <c:pt idx="0">
                  <c:v>38.886316092045796</c:v>
                </c:pt>
                <c:pt idx="1">
                  <c:v>27.061209498411078</c:v>
                </c:pt>
                <c:pt idx="2">
                  <c:v>33.546254451382126</c:v>
                </c:pt>
                <c:pt idx="3">
                  <c:v>0.50621995816100029</c:v>
                </c:pt>
              </c:numCache>
            </c:numRef>
          </c:val>
          <c:extLst>
            <c:ext xmlns:c16="http://schemas.microsoft.com/office/drawing/2014/chart" uri="{C3380CC4-5D6E-409C-BE32-E72D297353CC}">
              <c16:uniqueId val="{00000001-00B2-4ECC-8575-17FC4F28082C}"/>
            </c:ext>
          </c:extLst>
        </c:ser>
        <c:dLbls>
          <c:dLblPos val="inEnd"/>
          <c:showLegendKey val="0"/>
          <c:showVal val="1"/>
          <c:showCatName val="0"/>
          <c:showSerName val="0"/>
          <c:showPercent val="0"/>
          <c:showBubbleSize val="0"/>
        </c:dLbls>
        <c:gapWidth val="65"/>
        <c:axId val="1225847119"/>
        <c:axId val="1220883135"/>
      </c:barChart>
      <c:catAx>
        <c:axId val="1225847119"/>
        <c:scaling>
          <c:orientation val="minMax"/>
        </c:scaling>
        <c:delete val="0"/>
        <c:axPos val="b"/>
        <c:numFmt formatCode="General" sourceLinked="1"/>
        <c:majorTickMark val="none"/>
        <c:minorTickMark val="none"/>
        <c:tickLblPos val="nextTo"/>
        <c:spPr>
          <a:noFill/>
          <a:ln w="19050">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20883135"/>
        <c:crosses val="autoZero"/>
        <c:auto val="1"/>
        <c:lblAlgn val="ctr"/>
        <c:lblOffset val="100"/>
        <c:noMultiLvlLbl val="0"/>
      </c:catAx>
      <c:valAx>
        <c:axId val="1220883135"/>
        <c:scaling>
          <c:orientation val="minMax"/>
        </c:scaling>
        <c:delete val="1"/>
        <c:axPos val="l"/>
        <c:majorGridlines>
          <c:spPr>
            <a:ln w="9525">
              <a:gradFill rotWithShape="1">
                <a:gsLst>
                  <a:gs pos="0">
                    <a:schemeClr val="lt1">
                      <a:lumMod val="75000"/>
                      <a:alpha val="36000"/>
                    </a:schemeClr>
                  </a:gs>
                  <a:gs pos="100000">
                    <a:schemeClr val="dk1">
                      <a:lumMod val="95000"/>
                      <a:lumOff val="5000"/>
                      <a:alpha val="42000"/>
                    </a:schemeClr>
                  </a:gs>
                </a:gsLst>
                <a:lin ang="5400000" scaled="0"/>
              </a:gradFill>
              <a:round/>
            </a:ln>
            <a:effectLst/>
          </c:spPr>
        </c:majorGridlines>
        <c:numFmt formatCode="0.000" sourceLinked="1"/>
        <c:majorTickMark val="none"/>
        <c:minorTickMark val="none"/>
        <c:tickLblPos val="nextTo"/>
        <c:crossAx val="1225847119"/>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gradFill rotWithShape="1">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rotWithShape="1">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254716226303</cp:lastModifiedBy>
  <cp:revision>2</cp:revision>
  <dcterms:created xsi:type="dcterms:W3CDTF">2020-10-18T22:20:00Z</dcterms:created>
  <dcterms:modified xsi:type="dcterms:W3CDTF">2020-10-18T22:20:00Z</dcterms:modified>
</cp:coreProperties>
</file>